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 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«Проєктування бази даних і програмного продукту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спроєктувати реляційну базу даних (БД) системи NetGuard Monitor для моніторингу мережевого обладнання та джерел безперебійного живлення (ДБЖ) інтернет-провайдера на контекстному, логічному та фізичному рівнях, реалізувати програмну логіку БД і розробити програмний продукт, що працює з цією БД.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та інформаційні потреби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 і визначити зв’язок БД з YAML-файлом конфігурації SNMP;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реляційну схему з ключами та обмеженнями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PostgreSQL, розробити й перевірити DDL-скрипт;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з типами даних;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реалізувати програмну логіку БД (тригери, процедури, функції, представлення, ролі СУБД);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розробити програмний продукт — сервіси опитування, аналізу аварій і сповіщень та вебінтерфейс — і продемонструвати його роботу з БД SQL-запитами.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та моделі UML/IDEF1X з лабораторних робіт № 1–4 з дисципліни «Технології створення програмних продуктів» (далі — ЛР1–ЛР4 ТСПП): вимоги FR</w:t>
        <w:noBreakHyphen/>
        <w:t xml:space="preserve">01…FR</w:t>
        <w:noBreakHyphen/>
        <w:t xml:space="preserve">12, SR</w:t>
        <w:noBreakHyphen/>
        <w:t xml:space="preserve">04.1…SR</w:t>
        <w:noBreakHyphen/>
        <w:t xml:space="preserve">10.1 і NFR</w:t>
        <w:noBreakHyphen/>
        <w:t xml:space="preserve">01…NFR</w:t>
        <w:noBreakHyphen/>
        <w:t xml:space="preserve">06, попередня структура БД із 8 таблиць і YAML-файл конфігурації SNMP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 з одним центром обробки даних (ЦОД) і кількома районними вузлами доступу. Сервіс опитування (Polling Service) щонайменше раз на 60 с зчитує за протоколом SNMP показники комутаторів, маршрутизаторів, ONU та ДБЖ. Сервіс аналізу (Alerting Service) порівнює показники з пороговими значеннями для типу обладнання і в разі порушення реєструє інцидент, який проходить життєвий цикл «новий → (ескальований) → прийнятий → усунений → закритий». Сервіс сповіщень (Notification Service) інформує інженерів через вебпанель, e</w:t>
        <w:noBreakHyphen/>
        <w:t xml:space="preserve">mail і Telegram. Зміни стану, дії користувачів і зміни конфігурації фіксуються в журналі подій, на основі якого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«метрика → OID» для типів обладнання та перелік пристроїв — задаються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БД є спільним сховищем усіх мікросервісів і має забезпечувати цілісність даних, запис телеметрії від парку до 500 пристроїв (NFR</w:t>
        <w:noBreakHyphen/>
        <w:t xml:space="preserve">01) і зберігання історії показників на сервері з диском 100 ГБ (NFR</w:t>
        <w:noBreakHyphen/>
        <w:t xml:space="preserve">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Дані, які має зберігати БД, виведено з функціональних і системних вимог SRS (табл. 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01, FR</w:t>
              <w:noBreakHyphen/>
              <w:t xml:space="preserve">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04, SR</w:t>
              <w:noBreakHyphen/>
              <w:t xml:space="preserve">04.1, SR</w:t>
              <w:noBreakHyphen/>
              <w:t xml:space="preserve">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файлу, облікові дані без секретів, шаблони «метрика → OID»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07, SR</w:t>
              <w:noBreakHyphen/>
              <w:t xml:space="preserve">07.1, SR</w:t>
              <w:noBreakHyphen/>
              <w:t xml:space="preserve">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10, FR</w:t>
              <w:noBreakHyphen/>
              <w:t xml:space="preserve">12, SR</w:t>
              <w:noBreakHyphen/>
              <w:t xml:space="preserve">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та 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показників, інциденти, журнал подій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Порівняно з попередньою структурою (8 таблиць, ЛР1 і ЛР4 ТСПП) БД розширено до 15 таблиць: додано довідник метрик замість текстових назв, підтип ДБЖ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сповіщення, журнал подій і три таблиці конфігурації SNMP. Інцидент отримав тип «офлайн» і моменти переходів статусів, а таблиця показників — природний складений ключ замість сурогатного.</w:t>
      </w: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модель описує БД на найвищому рівні абстракції, незалежно від СУБД: межі БД, її клієнтів, потоки даних і сутності предметної області.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 1) БД зображено як єдине сховище. Безпосередньо з нею працюють лише п’ять сервісів системи; люди та зовнішні системи (SNMP-агенти, канали доставки сповіщень) взаємодіють з даними лише через сервіси, тому доступ можна розмежувати ролями СУБД. YAML-файл конфігурації SNMP редагує адміністратор, а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Позначення: «→» — дані, що записуються в БД; «←» — дані, що читаються з БД.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даних між клієнтами та БД наведено в табл. 2.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профілі (типи обладнання), шаблони OID, пристрої,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показники, статус пристрою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метрик; вузли й метрики для YAML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показники, тип і стан пристроїв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 описує, як опитувати обладнання, і зберігається під контролем версій. БД зберігає застосовані версії файлу та нормалізовані дані з нього, за якими Polling Service будує план опитування. Фрагмент файлу (скорочено):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vendor: APC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таблиць БД наведено в табл. 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255"/>
        <w:gridCol w:w="310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інші ключі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перевизначення; решту параметрів Polling Service читає з активної версії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secret: $⁠{VAR}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записи, яких немає у файлі, видаляються, лише якщо на них не посилається жоден пристрій; відкритий секрет — помилка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ключем профілю; профілі, вилучені з файлу, лишаються в БД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…)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вилучені з файлу пристрої деактивуються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та контрольна сума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Перевірити файл: відомі ключі, правильні типи й довжини значень, унікальні імена та IP-адреси,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$⁠{VAR}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БД не змінюється.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вмісту; якщо така версія вже активна —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 (функція БД </w:t>
      </w:r>
      <w:r>
        <w:rPr>
          <w:rFonts w:ascii="Courier New" w:cs="Courier New" w:eastAsia="Courier New" w:hAnsi="Courier New"/>
          <w:sz w:val="22"/>
          <w:szCs w:val="22"/>
        </w:rPr>
        <w:t xml:space="preserve">sp_apply_snmp_config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зареєструвати версію (або знову активувати раніше застосовану), синхронізувати таблиці за табл. 3 і записати подію в журнал.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IP-адреса, зайнята активним пристроєм поза файлом, порушення обмежень) відкотити транзакцію: чинною лишається попередня версія.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 саму функцію БД викликають Polling Service (після зміни файлу), вебінтерфейс (завантаження файлу, п. 7.7) і утиліта командного рядка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Зв’язок перевірено на PostgreSQL 16 у 41 сценарії: повторне застосування, повернення до старої версії, зміна IP-адреси пристрою, обмін IP-адресами між пристроями, конфлікт IP-адрес, невідомі вузол і метрика, некоректні файли (п. 5.7).</w:t>
      </w: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виділено 15 сутностей (табл. 4). Для кожної сутності, де це можливо, визначено природний ідентифікатор — атрибут або сукупність атрибутів, що однозначно ідентифікує екземпляр сутності; ІНЦИДЕНТ, СПОВІЩЕННЯ й ПОДІЯ ЖУРНАЛУ природного ідентифікатора не мають. Зв’язки між сутностями та їхню кардинальність показано на логічній моделі (рис. 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OID, з якого зчитується метрика для типу обладнання, і множник для перерахунку значення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Перехід від сутностей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відношення. Сутності з довгими або змінюваними природними ідентифікаторами (логін, ім’я пристрою, назва, код) отримують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стає альтернативним ключем (UNIQUE); винятки — ДБЖ, ПОКАЗНИК і ШАБЛОН ОПИТУВАННЯ (правила 3–4). IP-адреса пристрою ключем не є: її можна змінити або віддати новому пристрою, а унікальність IP-адрес серед активних пристроїв забезпечує частковий унікальний індекс. Сутності без природного ідентифікатора (ІНЦИДЕНТ, СПОВІЩЕННЯ, ПОДІЯ ЖУРНАЛУ) отримують лише сурогатний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на боці «N»; необов’язкова участь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Підтип ДБЖ (зв’язок 1:1 з обладнанням)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ПОКАЗНИК отримує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Асоціативні сутності між ТИПОМ ОБЛАДНАННЯ та МЕТРИКОЮ стають відношеннями із зовнішніми ключами на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ШАБЛОН ОПИТУВАННЯ — зі складеним первинним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ПОРІГ — із сурогатним ключем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альтернативним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Логічну модель у нотації «воронячої лапки» (crow’s foot) — 15 відношень з атрибутами, ключами та зв’язками — наведено на рис. 2 (аркуш формату А3). Позначення: «||» — рівно один, «o|» — нуль або один, «o&lt;» — нуль або багато; суцільна лінія — обов’язковий зовнішній ключ, пунктирна — необов’язковий. Атрибути первинного ключа підкреслено, зовнішні ключі виділено курсивом, «(O)» — атрибут допускає NULL.</w:t>
      </w: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курсивом; альтернативні ключі наведено після схеми):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100" w:before="80" w:line="276"/>
        <w:ind w:firstLine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Альтернативні ключі (UNIQUE): roles (code), roles (name); users (login), users (email), users (telegram_chat_id); locations (name); equipment_type (name), equipment_type (snmp_profile); metric (code); snmp_config (sha256); snmp_credential (name); equipment (name), equipment (serial_number); threshold (equipment_type_id, metric_id, severity).</w:t>
      </w:r>
    </w:p>
    <w:p>
      <w:pPr>
        <w:pStyle w:val="Heading2"/>
        <w:keepNext/>
        <w:spacing w:after="120" w:before="220"/>
      </w:pPr>
      <w:r>
        <w:t xml:space="preserve">4.4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забезпечують первинні ключі,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типи даних, NOT NULL, CHECK і перелічувані типи,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 ключі (табл. 5). Правила видалення обрано так, щоб історія інцидентів не втрачалася, а записи журналу зберігалися й після видалення пов’язаних об’єктів.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Зовнішні ключі та правила видалення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400"/>
        <w:gridCol w:w="1150"/>
        <w:gridCol w:w="310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Призначена роль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equipment_type, locations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і вузол, до яких прив’язане обладнання,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equipment, snmp_credential, snmp_oid_map → snmp_config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є історією й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snmp_oid_map, threshold, metric_reading → metric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видаляються разом із типом (якщо на них немає інцидентів)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equipment, threshold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зберігається; обладнання й пороги деактивуються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incident, notification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з історією інцидентів і сповіщень не видаляється, а блокується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Основні бізнес-правила та механізми їх забезпечення наведено в табл. 6. Правила, що потребують процедурної логіки (лічильники, таймери, перевірки між кількома таблицями), реалізовано тригерами, процедурами й функціями БД (п. 7.5).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має рівно одну роль; логін і e</w:t>
              <w:noBreakHyphen/>
              <w:t xml:space="preserve">mail унікальні, e</w:t>
              <w:noBreakHyphen/>
              <w:t xml:space="preserve">mail зберігається в нижньому регістрі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— адреса окремого хоста (не мережі), унікальна серед активних пристроїв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(частковий унікальний індекс),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</w:t>
              <w:noBreakHyphen/>
              <w:t xml:space="preserve">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ups_details_category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скінченне значення показника на (пристрій, метрика, момент)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має поріг і значення, «офлайн» — ні; 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переходів: прийнятий має відповідального, закритий — коментар; дати йдуть у порядку етапів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 відправлення є лише в надісланого сповіщення, текст помилки — лише в невдалого;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не втрачається: обладнання з інцидентами та користувачі, що приймали інциденти чи отримували сповіщення, не видаляються, а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ім’я користувача та протоколи USM — лише для v3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імені змінної), перевірка файлу завантажувачем;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числовий OID на пару (тип, метрика);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YAML-файлу атомарне; вузол і метрика з файлу мають існувати в БД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(одна транзакція)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Після N невдалих опитувань поспіль (N —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YAML-файлу, типово 3) — статус «офлайн» та інцидент (SR</w:t>
              <w:noBreakHyphen/>
              <w:t xml:space="preserve">04.2); ескалація неприйнятого інциденту через 5 хв; антифлуд 10 хв (SR</w:t>
              <w:noBreakHyphen/>
              <w:t xml:space="preserve">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fn_enqueue_notifications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Логічна модель бази даних (нотація crow’s foot)</w:t>
      </w:r>
    </w:p>
    <w:p>
      <w:pPr>
        <w:sectPr>
          <w:footerReference w:type="default" r:id="rId10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(NFR</w:t>
        <w:noBreakHyphen/>
        <w:t xml:space="preserve">03). Ця СУБД підтримує транзакції ACID і декларативні обмеження,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ENUM), часткові індекси та індекси BRIN, декларативне секціонування таблиць і конструкцію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а також може працювати на власному сервері провайдера (on-premise) у Docker-контейнері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імена —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латиницею,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Таблицю показників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секціоновано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PARTITION BY RANGE (read_at)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за ≈ 97 Б на рядок 500 пристроїв × 5 метрик щохвилини дають ≈ 10,5 ГБ на місяць, тому для NFR</w:t>
        <w:noBreakHyphen/>
        <w:t xml:space="preserve">02 (диск 100 ГБ) зберігається 6 місяців історії (≈ 63 ГБ), а старіші секції видаляються цілком (п. 7.5). DDL-скрипт 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перевірено на PostgreSQL 16 (п. 5.7).</w:t>
      </w:r>
    </w:p>
    <w:p>
      <w:pPr>
        <w:pStyle w:val="Heading2"/>
        <w:keepNext/>
        <w:spacing w:after="120" w:before="220"/>
      </w:pPr>
      <w:r>
        <w:t xml:space="preserve">5.2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 —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мільйони рядків (табл. 7).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малих довідників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 для ідентифікаторів малих довідників, лічильників та інтервалів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Запас діапазону (до 2,1·10⁹) для таблиць, що ростуть;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VARCHAR(n), CHAR(64)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в байтах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</w:t>
              <w:noBreakHyphen/>
              <w:t xml:space="preserve">mail, OID;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</w:t>
              <w:noBreakHyphen/>
              <w:t xml:space="preserve">mail ≤ 254, OID ≤ 128); SHA-256 — завжди 64 символи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порогів, множник OID, ємність АКБ і напруга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значення: фіксований розмір, швидка арифметика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BOOLEAN, 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Б, 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ознаки; календарні дати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UTC, коректна робота з часовими поясами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структура: «було/стало», знімок YAML-файлу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5.3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коду (статуси, канали доставки), використано типи ENUM (табл. 8). Переліки, які змінює адміністратор (ролі, типи обладнання, метрики), винесено в таблиці-довідники.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індексує лише первинні ключі та UNIQUE, тому індекси для зовнішніх ключів і типових запитів створено явно (табл. 9). Часткові індекси (з умовою WHERE) охоплюють лише потрібні рядки — відкриті інциденти, сповіщення в черзі, рядки із заповненими зовнішніми ключами — і тому залишаються малими. Окремий індекс (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для зовнішнього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свідомо не створено: він додав би ≈ 30 Б на кожен рядок найбільшої таблиці заради рідкісного видалення метрики.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(FR</w:t>
              <w:noBreakHyphen/>
              <w:t xml:space="preserve">12), останнє значення (FR</w:t>
              <w:noBreakHyphen/>
              <w:t xml:space="preserve">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(location_id), (credential_id)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 обладнання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03: IP-адреса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12: одна чинна версія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(metric_id), snmp_oid_map (metric_id), (config_id), snmp_credential (config_id)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DESC),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пристрою; звіти за період (FR</w:t>
              <w:noBreakHyphen/>
              <w:t xml:space="preserve">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08: без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</w:t>
              <w:noBreakHyphen/>
              <w:t xml:space="preserve">07.2: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09: журнал за датою і типом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09: журнал за пристроєм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15 таблиць з типами даних PostgreSQL, ключами, обмеженнями NOT NULL / UNIQUE і 23 зовнішніми ключами — наведено на рис. 3 (аркуш формату А3). Для друку на аркушах А4 ту саму модель подано трьома фрагментами (рис. 4–6); таблиці інших фрагментів показано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Фізична модель бази даних (повна схема, PostgreSQL)</w:t>
      </w:r>
    </w:p>
    <w:p>
      <w:pPr>
        <w:sectPr>
          <w:footerReference w:type="default" r:id="rId12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6007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5.6 Безпека даних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Захист даних забезпечують такі рішення: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не зберігаються ні в БД, ні в YAML-файлі: у файлі записано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$⁠{VAR}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змінну середовища, а в БД — лише ім’я цієї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кожен сервіс працює під власною роллю СУБД з мінімально необхідними привілеями (</w:t>
      </w:r>
      <w:r>
        <w:rPr>
          <w:rFonts w:ascii="Courier New" w:cs="Courier New" w:eastAsia="Courier New" w:hAnsi="Courier New"/>
          <w:sz w:val="22"/>
          <w:szCs w:val="22"/>
        </w:rPr>
        <w:t xml:space="preserve">ng_web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ng_poller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ng_alerting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ng_notifier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п. 7.5); наприклад, Notification Service може змінювати в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лише стан доставки;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зміни обладнання, порогів, користувачів і конфігурації тригери аудиту записують у журнал подій (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з автором і значеннями «було/стало»;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резервну копію БД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щодня створює утиліта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netguard.maintenance 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відновлення — </w:t>
      </w:r>
      <w:r>
        <w:rPr>
          <w:rFonts w:ascii="Courier New" w:cs="Courier New" w:eastAsia="Courier New" w:hAnsi="Courier New"/>
          <w:sz w:val="22"/>
          <w:szCs w:val="22"/>
        </w:rPr>
        <w:t xml:space="preserve">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20"/>
      </w:pPr>
      <w:r>
        <w:t xml:space="preserve">5.7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і програмного продукту перевірено на PostgreSQL 16 за шістьма напрямами (табл. 10); виявлені проблеми виправлено, після чого перевірки повторено.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Перевірка працездатності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100"/>
        <w:gridCol w:w="32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Схема та обмеження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51 некоректна вставка чи зміна, кожна має відхилятися певним обмеженням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 таблиць, 12 ENUM, 90 обмежень, 28 явно створених індексів, 17 секцій; автотест — 51 з 51 на порожній і заповненій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 сценарій застосування файлу, зокрема граничні: обмін IP-адресами, повернення до старої версії, некоректний YAML, спроби SQL-ін’єкції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Виявлені дефекти завантажувача виправлено; повторний запуск — 41 з 41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(до 3,6 млн рядків); 10 типових запитів сервісів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запити виконуються не довше 1,7 с (NFR</w:t>
              <w:noBreakHyphen/>
              <w:t xml:space="preserve">01: &lt; 2 с); розмір рядка показника ≈ 97 Б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суперечливі дані: дублікати, неузгоджені статуси й дати інцидентів, порожні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CHECK; правила з процедурною логікою реалізовано тригерами (п. 7.5)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Програмна логіка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sql/tests_logic.sql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тригери порогів і аудиту, процедури опитування й інцидентів, ескалація, антифлуд, YAML, ролі, звіти — 44 перевірки в транзакції з відкатом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 з 44 на демонстраційній і порожній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Програмний продукт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Наскрізний сценарій на демонстраційному стенді: несправності «пристрій недоступний» і «низький заряд АКБ», дії інженера у вебінтерфейсі, звіти; усі сторінки — під двома ролями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 відкриваються за ≤ 3 хв, ескалація — через 5 хв, сповіщення доставляються; помилок у браузері немає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 11–25): тип даних PostgreSQL кожного поля, участь у ключах (PK — первинний, FK — зовнішній, UQ —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отримано із системного каталогу PostgreSQL після виконання DDL-скрипту.</w:t>
      </w:r>
    </w:p>
    <w:p>
      <w:pPr>
        <w:pStyle w:val="Heading2"/>
        <w:keepNext/>
        <w:spacing w:after="120" w:before="220"/>
      </w:pPr>
      <w:r>
        <w:t xml:space="preserve">6.1 Таблиця roles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доступу: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ролей перевіряє застосунок (API Gateway).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6.2 Таблиця users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</w:t>
        <w:noBreakHyphen/>
        <w:t xml:space="preserve">01, FR</w:t>
        <w:noBreakHyphen/>
        <w:t xml:space="preserve">11). Пароль зберігається лише як хеш; користувач, що приймав інциденти чи отримував сповіщення, не видаляється, а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</w:t>
              <w:noBreakHyphen/>
              <w:t xml:space="preserve">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6.3 Таблиця locations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6.4 Таблиця equipment_type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обладнання. Тип визначає шаблон SNMP-опитування та пороги; поля профілю синхронізуються з розділом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6.5 Таблиця metric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 з одиницями виміру; усуває дублювання назв метрик у порогах і показниках.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 (довідник із кількох десятків записів, тому достатньо SMALLINT).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6.6 Таблиця snmp_config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застосованих версій YAML-файлу конфігурації SNMP; рядки не видаляються — це історія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виявляють зміну файлу й запобігають повторному застосуванню.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6.7 Таблиця snmp_credential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у БД не зберігається —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узгодженість протоколів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$⁠{VAR}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у БД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6.8 Таблиця snmp_oid_map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і з яким множником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profiles.*.metrics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6.9 Таблиця equipment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обладнання та ДБЖ, які опитує Polling Service (FR</w:t>
        <w:noBreakHyphen/>
        <w:t xml:space="preserve">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(FR</w:t>
        <w:noBreakHyphen/>
        <w:t xml:space="preserve">05, SR</w:t>
        <w:noBreakHyphen/>
        <w:t xml:space="preserve">04.2). Обладнання з історією інцидентів не видаляється,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SNMP-параметри синхронізуються з YAML-файлом.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окремого хоста,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1–65 535 (тому INTEGER, а не SMALLINT з максимумом 32 767).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</w:t>
              <w:noBreakHyphen/>
              <w:t xml:space="preserve">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невдалих опитувань поспіль; ≥ N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YAML-файлу, типово 3)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</w:t>
              <w:noBreakHyphen/>
              <w:t xml:space="preserve">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6.10 Таблиця ups_details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</w:t>
        <w:noBreakHyphen/>
        <w:t xml:space="preserve">03) — підтип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ключем;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(категорію перевіряє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ups_details_category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п. 7.5).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6.11 Таблиця threshold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</w:t>
        <w:noBreakHyphen/>
        <w:t xml:space="preserve">06): значення поза [min_value; max_value] — порушення; одна з меж може бути відсутня.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6.12 Таблиця metric_reading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</w:t>
        <w:noBreakHyphen/>
        <w:t xml:space="preserve">04, FR</w:t>
        <w:noBreakHyphen/>
        <w:t xml:space="preserve">12) — найбільша таблиця БД, секціонована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6.13 Таблиця incident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та їхній життєвий цикл (FR</w:t>
        <w:noBreakHyphen/>
        <w:t xml:space="preserve">07, FR</w:t>
        <w:noBreakHyphen/>
        <w:t xml:space="preserve">08).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 інцидент.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прийняття інциденту в роботу;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прийняв інцидент у роботу;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прийняття;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6.14 Таблиця notification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сповіщення одному користувачу одним каналом (FR</w:t>
        <w:noBreakHyphen/>
        <w:t xml:space="preserve">07, SR</w:t>
        <w:noBreakHyphen/>
        <w:t xml:space="preserve">07.1); історія відправлень потрібна для антифлуду (SR</w:t>
        <w:noBreakHyphen/>
        <w:t xml:space="preserve">07.2).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6.15 Таблиця event_log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</w:t>
        <w:noBreakHyphen/>
        <w:t xml:space="preserve">09); записи зберігаються й після видалення пов’язаних об’єктів.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60" w:before="240"/>
      </w:pPr>
      <w:r>
        <w:t xml:space="preserve">7. Програмний продукт NetGuard Monitor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основі спроєктованої БД розроблено програмний продукт NetGuard Monitor: три фонові сервіси та вебінтерфейс мовою Python і програмну логіку БД мовою PL/pgSQL. Вихідний код — каталоги </w:t>
      </w:r>
      <w:r>
        <w:rPr>
          <w:rFonts w:ascii="Courier New" w:cs="Courier New" w:eastAsia="Courier New" w:hAnsi="Courier New"/>
          <w:sz w:val="22"/>
          <w:szCs w:val="22"/>
        </w:rPr>
        <w:t xml:space="preserve">app/netguard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репозиторію.</w:t>
      </w:r>
    </w:p>
    <w:p>
      <w:pPr>
        <w:pStyle w:val="Heading2"/>
        <w:keepNext/>
        <w:spacing w:after="120" w:before="220"/>
      </w:pPr>
      <w:r>
        <w:t xml:space="preserve">7.1 Мета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програмного продукту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автоматизувати безперервний контроль стану мережевого обладнання та ДБЖ провайдера: щонайменше раз на 60 с збирати телеметрію за протоколом SNMP, автоматично виявляти аварії (вихід показника за поріг, недоступність пристрою), за лічені секунди сповіщати чергових інженерів і супроводжувати кожен інцидент до закриття, а також формувати звіти про доступність обладнання й стан акумуляторних батарей (АКБ). Усі дані продукт зберігає в спроєктованій БД, а сервіси обмінюються даними лише через неї.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Користувачі продукту — інженери служби підтримки (роль «Сапорт») та адміністратори. Продукт виконує такі функції (у дужках — вимоги SRS):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створення БД повторно виконуваними SQL-скриптами та демонстраційне наповнення: 21 пристрій (з них 6 ДБЖ), показники за 7 діб, 18 інцидентів у різних статусах; профілі, облікові дані й пристрої — з YAML-файлу;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автентифікація (bcrypt-хеш, вхід заблокованих користувачів неможливий), керування користувачами, ролі застосунку та ролі СУБД для кожного сервісу (FR</w:t>
        <w:noBreakHyphen/>
        <w:t xml:space="preserve">01, FR</w:t>
        <w:noBreakHyphen/>
        <w:t xml:space="preserve">11);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реєстрація, зміна, переведення на обслуговування та виведення з експлуатації обладнання; реєстрація ДБЖ разом із паспортом однією транзакцією (FR</w:t>
        <w:noBreakHyphen/>
        <w:t xml:space="preserve">02, FR</w:t>
        <w:noBreakHyphen/>
        <w:t xml:space="preserve">03);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застосування YAML-конфігурації SNMP з відкатом у разі помилки; перегляд, порівняння й повернення версій конфігурації (FR</w:t>
        <w:noBreakHyphen/>
        <w:t xml:space="preserve">02, FR</w:t>
        <w:noBreakHyphen/>
        <w:t xml:space="preserve">04);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опитування обладнання за планом з БД і запис телеметрії з оновленням стану пристрою (FR</w:t>
        <w:noBreakHyphen/>
        <w:t xml:space="preserve">04, SR</w:t>
        <w:noBreakHyphen/>
        <w:t xml:space="preserve">04.1);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 недоступності: статус «офлайн» та інцидент після N невдалих опитувань поспіль, де N — ключ </w:t>
      </w:r>
      <w:r>
        <w:rPr>
          <w:rFonts w:ascii="Courier New" w:cs="Courier New" w:eastAsia="Courier New" w:hAnsi="Courier New"/>
          <w:sz w:val="22"/>
          <w:szCs w:val="22"/>
        </w:rPr>
        <w:t xml:space="preserve">offline_after_failures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YAML-файлу, типово 3 (SR</w:t>
        <w:noBreakHyphen/>
        <w:t xml:space="preserve">04.2);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керування порогами із записом значень «було/стало» в журнал; перевірка порогів під час запису кожного показника без дублювання відкритих інцидентів (FR</w:t>
        <w:noBreakHyphen/>
        <w:t xml:space="preserve">06, FR</w:t>
        <w:noBreakHyphen/>
        <w:t xml:space="preserve">09);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життєвий цикл інциденту лише за допустимими переходами; ескалація адміністраторам інцидентів, не прийнятих за 5 хв (FR</w:t>
        <w:noBreakHyphen/>
        <w:t xml:space="preserve">08);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через вебпанель, e</w:t>
        <w:noBreakHyphen/>
        <w:t xml:space="preserve">mail і Telegram з антифлудом: не частіше одного сповіщення про той самий інцидент тому самому користувачу тим самим каналом за 10 хв (FR</w:t>
        <w:noBreakHyphen/>
        <w:t xml:space="preserve">07, SR</w:t>
        <w:noBreakHyphen/>
        <w:t xml:space="preserve">07.1, SR</w:t>
        <w:noBreakHyphen/>
        <w:t xml:space="preserve">07.2);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з автоматичним записом змін, пошуком за періодом, вузлом, типом і текстом та вивантаженням у CSV (FR</w:t>
        <w:noBreakHyphen/>
        <w:t xml:space="preserve">09);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поточного стану, графіки історії показників і звіти за період (доступність, MTTA, MTTR, стан АКБ) з вивантаженням у Excel, PDF і CSV (FR</w:t>
        <w:noBreakHyphen/>
        <w:t xml:space="preserve">05, FR</w:t>
        <w:noBreakHyphen/>
        <w:t xml:space="preserve">10, FR</w:t>
        <w:noBreakHyphen/>
        <w:t xml:space="preserve">12, SR</w:t>
        <w:noBreakHyphen/>
        <w:t xml:space="preserve">10.1);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обслуговування секцій телеметрії, резервне копіювання й відновлення БД (NFR</w:t>
        <w:noBreakHyphen/>
        <w:t xml:space="preserve">02); сторінка демонстраційних SQL-запитів до БД.</w:t>
      </w:r>
    </w:p>
    <w:p>
      <w:pPr>
        <w:pStyle w:val="Heading2"/>
        <w:keepNext/>
        <w:spacing w:after="120" w:before="220"/>
      </w:pPr>
      <w:r>
        <w:t xml:space="preserve">7.2 Вхідні та вихідні дані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Вхідні дані продукту наведено в табл. 26, вихідні — у табл. 27.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Вхідні дані програмного продукту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700"/>
        <w:gridCol w:w="2300"/>
        <w:gridCol w:w="26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Вхідні дані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подання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Куди потрапляють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опитування: облікові дані SNMP (без секретів), профілі «метрика → OID», перелік пристроїв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YAML-файл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snmp_config.yaml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показників: заряд, температура й напруга АКБ, вхідна напруга, навантаження, CPU, температура, uptime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SNMP-агенти обладнання (у стенді — емулятор)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Відповідь SNMP GET: сирі значення OID; відсутність відповіді — ознака недоступності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стан і лічильник невдач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і пароль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 входу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з інцидентом: прийняття, усунення, закриття з коментарем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Інженер, 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Кнопки та форма картки інциденту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Довідкові дані: обладнання й паспорти ДБЖ, пороги, користувачі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Форми вебінтерфейсу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перегляду: період, вузол, статус, тип події, текст пошуку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Фільтри сторінок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запитів до представлень і функцій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роботи: рядок підключення до БД, шлях до YAML-файлу, секрети SNMP, SMTP і Telegram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 сервера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Змінні середовища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БД не зберігаються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Вихідні дані програмного продукту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900"/>
        <w:gridCol w:w="2500"/>
        <w:gridCol w:w="22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Вихідні дані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Споживач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подання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 за вузлами, відкриті інциденти, підсумкові показники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Інженери, адміністратори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моніторингу, оновлення кожні 15 с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 із межами порогів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в картках пристрою та інциденту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 з хронологією переходів і сповіщеннями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Інженери, адміністратори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і картка інциденту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про нові й ескальовані інциденти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Інженери; адміністратори — при ескалації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Вебпанель (лічильник у заголовку), e</w:t>
              <w:noBreakHyphen/>
              <w:t xml:space="preserve">mail, Telegram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Адміністратори, інженери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з фільтрами, файл CSV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доступність, інциденти з MTTA і MTTR, стан АКБ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Адміністратори, керівництво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Вкладки з графіками й таблицями; файли Excel, PDF, CSV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fn_report_ups_battery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SNMP та їхні відмінності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Сторінка «Конфігурація SNMP»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Записи в БД: показники, стан пристроїв, інциденти, черга сповіщень, журнал; сигнали сервісам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Сервіси продукту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Рядки таблиць, сигнали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pg_notify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Резервні копії БД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 сервера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custom)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Уся БД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7.3 Системні вимоги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Вимоги до апаратного й програмного забезпечення для парку до 500 пристроїв (NFR</w:t>
        <w:noBreakHyphen/>
        <w:t xml:space="preserve">01) наведено в табл. 28.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Системні вимоги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800"/>
        <w:gridCol w:w="35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Мінімальні вимоги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Рекомендовано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Процесор сервера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ядра x86-64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ядра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Оперативна пам’ять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ГБ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ГБ (з них ≈ 2 ГБ — буфери PostgreSQL)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Диск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ГБ (демонстраційний стенд)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SSD 100 ГБ (NFR</w:t>
              <w:noBreakHyphen/>
              <w:t xml:space="preserve">02: ≈ 10,5 ГБ телеметрії на місяць, 6 місяців історії) і окремий носій для резервних копій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Операційна система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Linux (Ubuntu 22.04+, Debian 12) або Windows 10+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Linux; сервіси — як служби systemd або контейнери Docker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СУБД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15 з розширенням pgcrypto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16 (на ньому перевірено)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Середовище виконання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3.11+ і пакети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app/requirements.txt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nicegui 3, psycopg 3 з psycopg-pool, PyYAML, openpyxl, reportlab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3.13 (на ньому перевірено) у віртуальному середовищі venv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 → обладнання: UDP/161 (SNMP); сервіси → PostgreSQL: TCP/5432; браузер → вебінтерфейс: TCP/8080 (HTTP і WebSocket)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Зворотний проксі Nginx з HTTPS (TCP/443); вихідний доступ до SMTP-сервера та api.telegram.org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Робоче місце користувача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Браузер з JavaScript і WebSocket (Chrome, Edge, Firefox актуальних версій); екран від 1280×720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Екран 1920×1080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злагодженої роботи програми також потрібно: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синхронізувати час сервера (NTP): моменти подій, ескалацію через 5 хв і антифлуд 10 хв рахує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запускати один екземпляр Polling Service на БД (кілька екземплярів опитували б ті самі пристрої двічі); Notification Service можна запускати в кількох екземплярах — вибірка черги з </w:t>
      </w:r>
      <w:r>
        <w:rPr>
          <w:rFonts w:ascii="Courier New" w:cs="Courier New" w:eastAsia="Courier New" w:hAnsi="Courier New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дає двом екземплярам надіслати те саме сповіщення;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підключатися до БД обліковим записом власника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кожен сервіс одразу перемикається на свою роль СУБД (</w:t>
      </w:r>
      <w:r>
        <w:rPr>
          <w:rFonts w:ascii="Courier New" w:cs="Courier New" w:eastAsia="Courier New" w:hAnsi="Courier New"/>
          <w:sz w:val="22"/>
          <w:szCs w:val="22"/>
        </w:rPr>
        <w:t xml:space="preserve">SET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зберігати секрети SNMP, SMTP і Telegram лише в змінних середовища.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Розгортання демонстраційного стенда: у створеній БД команда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netguard.demo_setup --reset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розгортає схему, програмну логіку, довідники й демонстраційні дані,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запускає всі сервіси, після чого вебінтерфейс доступний за адресою http://&lt;сервер&gt;:8080 (облікові записи 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Admin#2026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a.koval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Support#2026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keepNext/>
        <w:spacing w:after="120" w:before="220"/>
      </w:pPr>
      <w:r>
        <w:t xml:space="preserve">7.4 Програмні засоби реалізації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Засоби реалізації та обґрунтування їх вибору наведено в табл. 29.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Програмні засоби реалізації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200"/>
        <w:gridCol w:w="50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Засіб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 вибору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Мова всіх модулів: сервіси, вебінтерфейс, утиліти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Одна мова для серверної частини й інтерфейсу; asyncio для неблокувального вводу-виводу; зрілі бібліотеки для SNMP, YAML, Excel і PDF. Вузьке місце системи — мережа та БД, а не процесор, тому швидкість розробки важливіша за швидкодію мови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16, PL/pgSQL, pgcrypto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Сховище даних і бізнес-логіка: тригери, процедури, функції, представлення, ролі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СУБД обрано під час фізичного проєктування (п. 5.1). Логіка в тригерах виконується в тій самій транзакції, що й зміна даних, тому однакова для всіх клієнтів (вебінтерфейс, сервіси, psql) і не може бути обійдена; pgcrypto дає bcrypt без зовнішніх залежностей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psycopg 3, psycopg-pool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Драйвер PostgreSQL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Синхронний і асинхронний (async/await) API; параметри запитів передаються окремо від тексту SQL, що виключає SQL-ін’єкції; COPY для масового завантаження; LISTEN/NOTIFY; пул з’єднань для вебінтерфейсу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NiceGUI 3 (FastAPI, Vue 3, Quasar)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Вебінтерфейс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Сторінки описуються кодом Python, а бібліотека перетворює їх на вебзастосунок Vue/Quasar і синхронізує стан із браузером через WebSocket — окремий фронтенд на JavaScript і REST API не потрібні. Має готові таблиці із сортуванням і пагінацією, діалоги, вкладки, завантаження файлів; автентифікація — через проміжний обробник (middleware) FastAPI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Apache ECharts (у складі NiceGUI)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 і звітів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Інтерактивні часові ряди з масштабуванням, лініями порогів і позначками аварій; графік будує браузер, не навантажуючи сервер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LISTEN/NOTIFY PostgreSQL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Обмін подіями між сервісами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Замінює брокер RabbitMQ з архітектури ЛР2 ТСПП: сигнал надходить лише після COMMIT, а саме сповіщення лежить у 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не губиться під час перезапуску сервісу; окремий брокер на одному сервері не потрібен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PyYAML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Розбір YAML-конфігурації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Безпечний завантажувач (SafeLoader), доповнений забороною дублікатів ключів і злиття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повна перевірка структури файлу до запису в БД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openpyxl, reportlab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Excel і PDF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Бібліотеки на чистому Python, не потребують Microsoft Office; reportlab зі шрифтом DejaVu коректно виводить кирилицю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smtplib, urllib (стандартна бібліотека)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Доставка e</w:t>
              <w:noBreakHyphen/>
              <w:t xml:space="preserve">mail і Telegram (Bot API)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додаткових залежностей; режим без надсилання пише повідомлення у файл — для стенда без поштового сервера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pg_dump, pg_restore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й відновлення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Штатні утиліти PostgreSQL; формат custom стиснений і дозволяє вибіркове відновлення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 час розробки також використано Git (контроль версій), Graphviz (діаграми й блок-схеми) і Playwright з Chromium (автоматичні знімки екрана для звіту).</w:t>
      </w:r>
    </w:p>
    <w:p>
      <w:pPr>
        <w:pStyle w:val="Heading2"/>
        <w:keepNext/>
        <w:spacing w:after="120" w:before="220"/>
      </w:pPr>
      <w:r>
        <w:t xml:space="preserve">7.5 Програмна логіка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з процедурною логікою (табл. 6) реалізовано у скрипті </w:t>
      </w:r>
      <w:r>
        <w:rPr>
          <w:rFonts w:ascii="Courier New" w:cs="Courier New" w:eastAsia="Courier New" w:hAnsi="Courier New"/>
          <w:sz w:val="22"/>
          <w:szCs w:val="22"/>
        </w:rPr>
        <w:t xml:space="preserve">sql/lr2_logic.sql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(табл. 30). Скрипт можна виконувати повторно; усі функції мають фіксований </w:t>
      </w:r>
      <w:r>
        <w:rPr>
          <w:rFonts w:ascii="Courier New" w:cs="Courier New" w:eastAsia="Courier New" w:hAnsi="Courier New"/>
          <w:sz w:val="22"/>
          <w:szCs w:val="22"/>
        </w:rPr>
        <w:t xml:space="preserve">search_path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тож не залежать від налаштувань сеансу. Автора змін застосунок передає змінною сеансу </w:t>
      </w:r>
      <w:r>
        <w:rPr>
          <w:rFonts w:ascii="Courier New" w:cs="Courier New" w:eastAsia="Courier New" w:hAnsi="Courier New"/>
          <w:sz w:val="22"/>
          <w:szCs w:val="22"/>
        </w:rPr>
        <w:t xml:space="preserve">netguard.user_id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яку читають тригери аудиту.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Об’єкти програмної логіки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000"/>
        <w:gridCol w:w="4055"/>
      </w:tblGrid>
      <w:tr>
        <w:trPr>
          <w:cantSplit/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 БД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reading_check_thresholds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Порівнює показник з активними порогами типу пристрою й відкриває інцидент без дублювання (ON CONFLICT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sp_register_poll_success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відповідей пристрою: скидання лічильника й статус online; після N невдач поспіль — статус offline та інцидент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incident_validate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BEFORE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Допустимі переходи статусів, незмінність ключових полів, відповідність порогу типу обладнання, активний користувач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incident_events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у журнал, постановка сповіщень у чергу, сигнал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pg_notify('ng_incident')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інженера з інцидентом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інцидентів, не прийнятих за 5 хв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сповіщень: отримувачі за роллю, лише канали із вказаним контактом, антифлуд 10 хв, сигнал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ng_notification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однією транзакцією (табл. 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fn_hash_password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Вхід користувача й хешування пароля (bcrypt, pgcrypto);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журналі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ups_details_category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Функція, тригер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 ДБЖ разом із паспортом; паспорт лише для категорії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equipment_audit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threshold_audit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users_audit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змін з автором і значеннями «було/стало» (пароль — лише позначка «змінено»)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опитування, поточний стан обладнання, список інцидентів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fn_report_ups_battery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Дані для графіків і звітів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fn_drop_old_partitions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майбутніх і видалення застарілих секцій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(утиліта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СУБД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Найменші привілеї для кожного сервісу;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лише читання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7.6 Алгоритм роботи програмного продукту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Продукт складається з чотирьох процесів, що працюють паралельно й обмінюються даними лише через БД. Загальний алгоритм роботи (рис. 7):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Розгортання: SQL-скрипти створюють схему, програмну логіку й довідники; YAML-файл перевіряється й застосовується функцією </w:t>
      </w:r>
      <w:r>
        <w:rPr>
          <w:rFonts w:ascii="Courier New" w:cs="Courier New" w:eastAsia="Courier New" w:hAnsi="Courier New"/>
          <w:sz w:val="22"/>
          <w:szCs w:val="22"/>
        </w:rPr>
        <w:t xml:space="preserve">sp_apply_snmp_config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 планом </w:t>
      </w:r>
      <w:r>
        <w:rPr>
          <w:rFonts w:ascii="Courier New" w:cs="Courier New" w:eastAsia="Courier New" w:hAnsi="Courier New"/>
          <w:sz w:val="22"/>
          <w:szCs w:val="22"/>
        </w:rPr>
        <w:t xml:space="preserve">v_snmp_poll_plan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опитує кожен пристрій з його інтервалом і записує показники;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reading_check_thresholds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тій самій транзакції відкриває інцидент, якщо показник поза порогом, а невдалі опитування рахує процедура </w:t>
      </w:r>
      <w:r>
        <w:rPr>
          <w:rFonts w:ascii="Courier New" w:cs="Courier New" w:eastAsia="Courier New" w:hAnsi="Courier New"/>
          <w:sz w:val="22"/>
          <w:szCs w:val="22"/>
        </w:rPr>
        <w:t xml:space="preserve">sp_register_poll_failure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8, 9).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incident_events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ставить сповіщення в чергу й надсилає сигнал </w:t>
      </w:r>
      <w:r>
        <w:rPr>
          <w:rFonts w:ascii="Courier New" w:cs="Courier New" w:eastAsia="Courier New" w:hAnsi="Courier New"/>
          <w:sz w:val="22"/>
          <w:szCs w:val="22"/>
        </w:rPr>
        <w:t xml:space="preserve">pg_notify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Notification Service доставляє сповіщення, а Alerting Service кожні 15 с ескалює інциденти, не прийняті за 5 хв (рис. 10).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Інженер у вебінтерфейсі приймає, усуває й закриває інцидент; кожен перехід перевіряє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incident_validate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11).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моніторингу, графіки, журнал і звіти вебінтерфейс читає з представлень і функцій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Polling Service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8) перечитує план опитування щохвилини, тож зміни YAML-конфігурації підхоплюються без перезапуску; там само сервіс перевіряє, чи змінився YAML-файл. Кожен пристрій опитується в окремій транзакції: помилка одного не зупиняє опитування решти. Сире значення OID множиться на </w:t>
      </w:r>
      <w:r>
        <w:rPr>
          <w:rFonts w:ascii="Courier New" w:cs="Courier New" w:eastAsia="Courier New" w:hAnsi="Courier New"/>
          <w:sz w:val="22"/>
          <w:szCs w:val="22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записується разом з оновленням стану пристрою.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Логіка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9): під час запису показника тригер перебирає активні пороги типу пристрою для цієї метрики; порушення відкриває інцидент, а відкритий інцидент за тим самим порогом не дублюється. Процедура невдалого опитування збільшує лічильник і після N невдач поспіль переводить пристрій у статус offline з інцидентом типу offline.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Notification Service і Alerting Service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10): сповіщення вибираються з черги з блокуванням </w:t>
      </w:r>
      <w:r>
        <w:rPr>
          <w:rFonts w:ascii="Courier New" w:cs="Courier New" w:eastAsia="Courier New" w:hAnsi="Courier New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без нових сигналів сервіс перевіряє чергу щонайменше раз на 5 с. Невдала доставка фіксується статусом failed з текстом помилки. Ескалація змінює статус інциденту, а сповіщення адміністраторам ставить у чергу вже тригер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Обробка інциденту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11): кнопки картки інциденту викликають процедури БД. Якщо перехід недопустимий (наприклад, інцидент уже прийняв інший інженер), транзакція відкочується, а користувач бачить повідомлення про помилку.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53025" cy="8572500"/>
            <wp:effectExtent t="0" r="0" b="0" l="0"/>
            <wp:docPr id="1" name="flow_01_general.png" descr="Блок-схема загального алгоритму роботи NetGuard Monitor" title="Блок-схема загального алгоритму роботи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Блок-схема загального алгоритму роботи NetGuard Monitor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124825" cy="5334000"/>
            <wp:effectExtent t="0" r="0" b="0" l="0"/>
            <wp:docPr id="1" name="flow_02_poller.png" descr="Блок-схема алгоритму Polling Service" title="Блок-схема алгоритму Polling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48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8 — Блок-схема алгоритму Polling Service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953500" cy="4562475"/>
            <wp:effectExtent t="0" r="0" b="0" l="0"/>
            <wp:docPr id="1" name="flow_03_db_logic.png" descr="Блок-схеми тригера перевірки порогів і процедури невдалого опитування" title="Блок-схеми тригера перевірки порогів і процедури невдалого опитува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9 — Блок-схеми тригера перевірки порогів і процедури невдалого опитування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953500" cy="4762500"/>
            <wp:effectExtent t="0" r="0" b="0" l="0"/>
            <wp:docPr id="1" name="flow_04_notify.png" descr="Блок-схеми алгоритмів Notification Service і Alerting Service" title="Блок-схеми алгоритмів Notification Service і Alerting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10 — Блок-схеми алгоритмів Notification Service і Alerting Service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7162800" cy="5334000"/>
            <wp:effectExtent t="0" r="0" b="0" l="0"/>
            <wp:docPr id="1" name="flow_05_incident.png" descr="Блок-схема обробки інциденту інженером" title="Блок-схема обробки інциденту інженер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11 — Блок-схема обробки інциденту інженером</w:t>
      </w:r>
    </w:p>
    <w:p>
      <w:pPr>
        <w:sectPr>
          <w:footerReference w:type="default" r:id="rId14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7.7 Інтерфейс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Вебінтерфейс відкривається в браузері. Після входу (рис. 12) зліва розташовано меню розділів, у заголовку — ім’я та роль користувача, лічильник сповіщень і кнопка виходу. Склад меню залежить від ролі: сапорт бачить шість розділів, адміністратор — ще чотири (табл. 31). Сторінки адміністратора захищено й на сервері: відкривши таку сторінку за прямим посиланням, сапорт побачить повідомлення «Сторінка доступна лише адміністратору».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Розділи вебінтерфейсу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700"/>
        <w:gridCol w:w="56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 та елементи керування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моніторингу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Підсумкові картки (пристрої на зв’язку, офлайн, відкриті інциденти, мінімальний заряд АКБ), таблиці пристроїв за вузлами з останніми показниками, відкриті інциденти; оновлення кожні 15 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Усі; зміни — 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з фільтрами за вузлом, категорією, станом і пошуком; додавання пристрою, реєстрація ДБЖ. Картка пристрою: відомості, паспорт ДБЖ, графіки за 6 год, 24 год або 7 діб, редагування, обслуговування, виведення з експлуатації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з фільтрами за статусом, вузлом і періодом. Картка: параметри, хронологія переходів, графік метрики навколо моменту аварії з лінією порогу, сповіщення, кнопки дій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поточного користувача: інцидент, канал, стан доставки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Фільтри за періодом, типом, вузлом і текстом; деталі змін «було/стало»; вивантаження CSV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Вибір періоду; вкладки «Доступність», «Інциденти» (MTTA, MTTR), «Стан АКБ» з графіками й таблицями; Excel, PDF, CSV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Додавання, зміна, деактивація й видалення порогів (поріг з інцидентами лише деактивується)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Завантаження YAML-файлу, активна конфігурація (облікові дані, шаблони OID), історія версій з переглядом, порівнянням і поверненням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Додавання, зміна ролі, контактів і пароля, блокування доступу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Запити до БД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демонстраційних SQL-запитів у чотирьох групах і довільний запит лише для читання (п. 7.8)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01_login.png" descr="Сторінка входу" title="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12 — Сторінка входу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моніторингу (рис. 13) групує пристрої за вузлами: стан показано кольоровою позначкою, поруч — останні значення метрик і час останньої відповіді. Картка пристрою (рис. 14) містить паспорт ДБЖ і графіки метрик з лініями порогів.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02_dashboard.png" descr="Панель моніторингу (роль «Адміністратор»)" title="Панель моніторингу (роль «Адміністратор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13 — Панель моніторингу (роль «Адміністратор»)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305300"/>
            <wp:effectExtent t="0" r="0" b="0" l="0"/>
            <wp:docPr id="1" name="04_equipment_card.png" descr="Картка ДБЖ з графіками показників за 7 діб" title="Картка ДБЖ з графіками показників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14 — Картка ДБЖ з графіками показників за 7 діб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інцидентів (рис. 15) показує тип і рівень аварії, значення показника, норму та статус. У картці відкритого інциденту (рис. 16) доступна кнопка наступного переходу, а графік показує момент аварії відносно порогу. Закритий інцидент (рис. 17) містить повну хронологію та коментар щодо вжитих заходів.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incidents.png" descr="Список інцидентів за 7 діб" title="Список інцидентів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15 — Список інцидентів за 7 діб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incident_open.png" descr="Картка ескальованого інциденту (роль «Сапорт»)" title="Картка ескальованого інциденту (роль «Сапорт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16 — Картка ескальованого інциденту (роль «Сапорт»)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6_incident_card.png" descr="Картка закритого інциденту з хронологією" title="Картка закритого інциденту з хронологіє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17 — Картка закритого інциденту з хронологією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Адміністратор керує порогами (рис. 18) і конфігурацією SNMP (рис. 19): після завантаження YAML-файлу сторінка показує результат застосування, активну конфігурацію та історію версій.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8_thresholds.png" descr="Порогові значення" title="Порогові знач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18 — Порогові значення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09_snmp.png" descr="Конфігурація SNMP: завантаження файлу та історія версій" title="Конфігурація SNMP: завантаження файлу та історія версі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19 — Конфігурація SNMP: завантаження файлу та історія версій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(рис. 20) і звіти (рис. 21) доступні всім користувачам; звіти вивантажуються в Excel і PDF. Інженер бачить власні сповіщення на окремій сторінці (рис. 22).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1_events.png" descr="Журнал подій" title="Журнал поді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20 — Журнал подій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12_reports.png" descr="Звіти: доступність обладнання за 7 діб" title="Звіти: доступність обладнання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21 — Звіти: доступність обладнання за 7 діб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86150"/>
            <wp:effectExtent t="0" r="0" b="0" l="0"/>
            <wp:docPr id="1" name="13_notifications.png" descr="Сповіщення інженера (роль «Сапорт»)" title="Сповіщення інженера (роль «Сапорт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22 — Сповіщення інженера (роль «Сапорт»)</w:t>
      </w:r>
    </w:p>
    <w:p>
      <w:pPr>
        <w:pStyle w:val="Heading2"/>
        <w:keepNext/>
        <w:spacing w:after="120" w:before="220"/>
      </w:pPr>
      <w:r>
        <w:t xml:space="preserve">7.8 Робота з базою даних: SQL-запити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Сторінка «Запити до БД» показує текст запиту, роль СУБД, від імені якої його виконано, результат і час виконання. Запити вибірки виконуються від імені ролі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транзакції лише для читання, а запити, що змінюють дані, — у транзакції, яка завжди відкочується, тож демонстрація не змінює стан БД. Нижче наведено знімки екрана основних запитів чотирьох груп: вибірка даних, агрегування та звіти, програмна логіка й обмеження цілісності.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Представлення </w:t>
      </w:r>
      <w:r>
        <w:rPr>
          <w:rFonts w:ascii="Courier New" w:cs="Courier New" w:eastAsia="Courier New" w:hAnsi="Courier New"/>
          <w:sz w:val="22"/>
          <w:szCs w:val="22"/>
        </w:rPr>
        <w:t xml:space="preserve">v_equipment_current_state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повертає стан і останні значення метрик кожного пристрою (рис. 23); ці дані показує панель моніторингу. Представлення </w:t>
      </w:r>
      <w:r>
        <w:rPr>
          <w:rFonts w:ascii="Courier New" w:cs="Courier New" w:eastAsia="Courier New" w:hAnsi="Courier New"/>
          <w:sz w:val="22"/>
          <w:szCs w:val="22"/>
        </w:rPr>
        <w:t xml:space="preserve">v_snmp_poll_plan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план опитування для Polling Service, синхронізований з YAML-файлом (рис. 24).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91125" cy="4095750"/>
            <wp:effectExtent t="0" r="0" b="0" l="0"/>
            <wp:docPr id="1" name="q01_state.png" descr="Запит: поточний стан обладнання ЦОД" title="Запит: поточний стан обладнання Ц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23 — Запит: поточний стан обладнання ЦОД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4029075"/>
            <wp:effectExtent t="0" r="0" b="0" l="0"/>
            <wp:docPr id="1" name="q02_plan.png" descr="Запит: план опитування ДБЖ із YAML-конфігурації" title="Запит: план опитування ДБЖ із YAML-конфігураці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24 — Запит: план опитування ДБЖ із YAML-конфігурації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Відкриті інциденти з порогами й відповідальними отримано з’єднанням шести таблиць (рис. 25). Функція </w:t>
      </w:r>
      <w:r>
        <w:rPr>
          <w:rFonts w:ascii="Courier New" w:cs="Courier New" w:eastAsia="Courier New" w:hAnsi="Courier New"/>
          <w:sz w:val="22"/>
          <w:szCs w:val="22"/>
        </w:rPr>
        <w:t xml:space="preserve">fn_metric_history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агрегує показники за інтервалами — видно розряд і заряд АКБ під час аварії живлення (рис. 26).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971925"/>
            <wp:effectExtent t="0" r="0" b="0" l="0"/>
            <wp:docPr id="1" name="q03_open.png" descr="Запит: відкриті інциденти (з’єднання шести таблиць)" title="Запит: відкриті інциденти (з’єднання шести таблиц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25 — Запит: відкриті інциденти (з’єднання шести таблиць)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00625" cy="5334000"/>
            <wp:effectExtent t="0" r="0" b="0" l="0"/>
            <wp:docPr id="1" name="q04_history.png" descr="Запит: історія заряду АКБ під час аварії живлення" title="Запит: історія заряду АКБ під час аварії живл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26 — Запит: історія заряду АКБ під час аварії живлення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Функції звітів рахують MTTA і MTTR за вузлами (рис. 27) та доступність обладнання за період (рис. 28).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867275" cy="4095750"/>
            <wp:effectExtent t="0" r="0" b="0" l="0"/>
            <wp:docPr id="1" name="q06_mtta.png" descr="Запит: інциденти, MTTA і MTTR за вузлами" title="Запит: інциденти, MTTA і MTTR за вузл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27 — Запит: інциденти, MTTA і MTTR за вузлами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971925"/>
            <wp:effectExtent t="0" r="0" b="0" l="0"/>
            <wp:docPr id="1" name="q07_uptime.png" descr="Запит: доступність обладнання за 7 діб" title="Запит: доступність обладнання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28 — Запит: доступність обладнання за 7 діб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 показника поза порогом: тригер відкриває інциденти обох рівнів критичності й ставить сповіщення в чергу (рис. 29). Три невдалі опитування поспіль переводять пристрій у статус offline з інцидентом (рис. 30).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609975"/>
            <wp:effectExtent t="0" r="0" b="0" l="0"/>
            <wp:docPr id="1" name="q11_trigger.png" descr="Запит: тригер перевірки порогів відкриває інциденти" title="Запит: тригер перевірки порогів відкриває інциден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29 — Запит: тригер перевірки порогів відкриває інциденти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743325"/>
            <wp:effectExtent t="0" r="0" b="0" l="0"/>
            <wp:docPr id="1" name="q12_offline.png" descr="Запит: процедура невдалого опитування переводить пристрій в offline" title="Запит: процедура невдалого опитування переводить пристрій в off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30 — Запит: процедура невдалого опитування переводить пристрій в offline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Процедура </w:t>
      </w:r>
      <w:r>
        <w:rPr>
          <w:rFonts w:ascii="Courier New" w:cs="Courier New" w:eastAsia="Courier New" w:hAnsi="Courier New"/>
          <w:sz w:val="22"/>
          <w:szCs w:val="22"/>
        </w:rPr>
        <w:t xml:space="preserve">sp_acknowledge_incident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однією дією заповнює статус, момент і відповідального, а тригер записує перехід у журнал (рис. 31). Функція </w:t>
      </w:r>
      <w:r>
        <w:rPr>
          <w:rFonts w:ascii="Courier New" w:cs="Courier New" w:eastAsia="Courier New" w:hAnsi="Courier New"/>
          <w:sz w:val="22"/>
          <w:szCs w:val="22"/>
        </w:rPr>
        <w:t xml:space="preserve">fn_authenticate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порівнює пароль з bcrypt-хешем і фіксує момент входу (рис. 32).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857625"/>
            <wp:effectExtent t="0" r="0" b="0" l="0"/>
            <wp:docPr id="1" name="q13_ack.png" descr="Запит: прийняття інциденту в роботу" title="Запит: прийняття інциденту в робо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31 — Запит: прийняття інциденту в роботу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048000"/>
            <wp:effectExtent t="0" r="0" b="0" l="0"/>
            <wp:docPr id="1" name="q14_auth.png" descr="Запит: автентифікація з bcrypt-хешем" title="Запит: автентифікація з bcrypt-хеш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32 — Запит: автентифікація з bcrypt-хешем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Захист цілісності: обмеження CHECK відхиляє інтервал опитування поза межами 10–60 с (рис. 33), тригер — недопустимий перехід статусу інциденту (рис. 34), а роль звітів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має права змінювати дані (рис. 35). В усіх випадках СУБД відхиляє операцію, і транзакцію відкочено.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362325"/>
            <wp:effectExtent t="0" r="0" b="0" l="0"/>
            <wp:docPr id="1" name="q16_check.png" descr="Запит: обмеження CHECK відхиляє некоректний інтервал" title="Запит: обмеження CHECK відхиляє некоректний інтерв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33 — Запит: обмеження CHECK відхиляє некоректний інтервал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190875"/>
            <wp:effectExtent t="0" r="0" b="0" l="0"/>
            <wp:docPr id="1" name="q19_transition.png" descr="Запит: тригер забороняє недопустимий перехід статусу" title="Запит: тригер забороняє недопустимий перехід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34 — Запит: тригер забороняє недопустимий перехід статусу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838450"/>
            <wp:effectExtent t="0" r="0" b="0" l="0"/>
            <wp:docPr id="1" name="q20_role.png" descr="Запит: роль звітів не може змінювати дані" title="Запит: роль звітів не може змінювати дан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35 — Запит: роль звітів не може змінювати дані</w:t>
      </w:r>
    </w:p>
    <w:p>
      <w:pPr>
        <w:pStyle w:val="Heading1"/>
        <w:spacing w:after="160" w:before="240"/>
      </w:pPr>
      <w:r>
        <w:t xml:space="preserve">8.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роботі спроєктовано реляційну БД системи моніторингу мережевого обладнання та ДБЖ NetGuard Monitor на трьох рівнях абстракції, реалізовано її програмну логіку й розроблено програмний продукт, що з нею працює.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сервісів-клієнтів, потоки даних між ними та БД, а також 15 сутностей предметної області. БД пов’язано з YAML-файлом конфігурації SNMP: застосовані версії файлу зберігаються з контрольною сумою та повним вмістом, а профілі (типи обладнання), облікові дані (без секретів), шаблони OID і пристрої синхронізуються з файлом в одній транзакції.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 з первинними, альтернативними й зовнішніми ключами та правилами референційної цілісності; сформульовано 16 бізнес-правил, кожне з яких зіставлено з механізмом його забезпечення.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Фізичну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реалізовано для PostgreSQL 15+: 12 перелічуваних типів, 15 таблиць, 90 обмежень (15 PK, 23 FK, 14 UNIQUE, 38 CHECK) і 28 явно створених індексів; таблицю показників секціоновано за місяцями. DDL-скрипт перевірено на PostgreSQL 16: автотест обмежень пройдено (51 з 51), типові запити вкладаються в межі NFR</w:t>
        <w:noBreakHyphen/>
        <w:t xml:space="preserve">01 навіть для 500 пристроїв.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Програмна логіка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тригери перевірки порогів, переходів статусів і аудиту, процедури обліку опитувань і дій з інцидентами, ескалація, черга сповіщень з антифлудом, застосування YAML-конфігурації, представлення, функції звітів і ролі СУБД для кожного сервісу — перевірена автотестом (44 з 44).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Програмний продукт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Python (сервіси опитування, аналізу аварій і сповіщень та вебінтерфейс на NiceGUI) виконує всі 12 функцій, сформульованих у п. 7.1, і покриває вимоги FR</w:t>
        <w:noBreakHyphen/>
        <w:t xml:space="preserve">01…FR</w:t>
        <w:noBreakHyphen/>
        <w:t xml:space="preserve">12 SRS. Сервіси обмінюються подіями механізмом LISTEN/NOTIFY PostgreSQL, тому окремий брокер повідомлень не потрібен. Роботу продукту з БД продемонстровано на стенді з 21 пристроєм: аварії виявляються автоматично, сповіщення доставляються, а сторінка «Запити до БД» показує SQL-запити до представлень, функцій і процедур разом зі спрацюванням обмежень цілісності.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21" w:hanging="454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75bff0f35cd2ae885e197fb4348cfa5ad3552c8b.png"/><Relationship Id="rId18" Type="http://schemas.openxmlformats.org/officeDocument/2006/relationships/image" Target="media/9c0fddaa56cfadc3c96a71d24eec0d33bcfe1f89.png"/><Relationship Id="rId19" Type="http://schemas.openxmlformats.org/officeDocument/2006/relationships/image" Target="media/53c8794b8036a194535552dfe365beda21372df1.png"/><Relationship Id="rId20" Type="http://schemas.openxmlformats.org/officeDocument/2006/relationships/image" Target="media/5ee7b5bd27ee6c568c1b59245f89ce95f9d3e08a.png"/><Relationship Id="rId21" Type="http://schemas.openxmlformats.org/officeDocument/2006/relationships/image" Target="media/bb6139cf8ca0b8d08813363ef404236d70d980b2.png"/><Relationship Id="rId22" Type="http://schemas.openxmlformats.org/officeDocument/2006/relationships/image" Target="media/8fb680ac8a5d1983a97d8e81684e72791e58544b.png"/><Relationship Id="rId23" Type="http://schemas.openxmlformats.org/officeDocument/2006/relationships/image" Target="media/c613ffb4d521145bfd5cddcb9614f7192cf47f32.png"/><Relationship Id="rId24" Type="http://schemas.openxmlformats.org/officeDocument/2006/relationships/image" Target="media/f21f0e3516ca11eaf28828968015210ecc115bf2.png"/><Relationship Id="rId25" Type="http://schemas.openxmlformats.org/officeDocument/2006/relationships/image" Target="media/fcab10b1bc9f411b00eabce4f0f556112af68a42.png"/><Relationship Id="rId26" Type="http://schemas.openxmlformats.org/officeDocument/2006/relationships/image" Target="media/4f00893f4a9905c2c0ce9d19151440f92a764d70.png"/><Relationship Id="rId27" Type="http://schemas.openxmlformats.org/officeDocument/2006/relationships/image" Target="media/0879a6d153dfc54fd685d29770bf7548df5b8189.png"/><Relationship Id="rId28" Type="http://schemas.openxmlformats.org/officeDocument/2006/relationships/image" Target="media/35b5436e88a6650b8ec7204639fc0a603e82c09a.png"/><Relationship Id="rId29" Type="http://schemas.openxmlformats.org/officeDocument/2006/relationships/image" Target="media/67e72b949b149b909c5ca11a710ad2a54436600d.png"/><Relationship Id="rId30" Type="http://schemas.openxmlformats.org/officeDocument/2006/relationships/image" Target="media/3686cff2d246f9acaf4b13da43825fc233c8cdf7.png"/><Relationship Id="rId31" Type="http://schemas.openxmlformats.org/officeDocument/2006/relationships/image" Target="media/0a5116cbe6933456fe007f2498f42f0f2975317a.png"/><Relationship Id="rId32" Type="http://schemas.openxmlformats.org/officeDocument/2006/relationships/image" Target="media/a9ef8a56ba027b3b15aa2a1fe776e56db51c8230.png"/><Relationship Id="rId33" Type="http://schemas.openxmlformats.org/officeDocument/2006/relationships/image" Target="media/8e437d7fdd346e1565f394239903ba7d553b0850.png"/><Relationship Id="rId34" Type="http://schemas.openxmlformats.org/officeDocument/2006/relationships/image" Target="media/874238dcb3489fe767cb627fe6d4f836ee40b1b8.png"/><Relationship Id="rId35" Type="http://schemas.openxmlformats.org/officeDocument/2006/relationships/image" Target="media/7387e2114f13ece183b68285585c892a1b57ea9a.png"/><Relationship Id="rId36" Type="http://schemas.openxmlformats.org/officeDocument/2006/relationships/image" Target="media/9a4d1539aebd9684898a2e070a41d56d437604dc.png"/><Relationship Id="rId37" Type="http://schemas.openxmlformats.org/officeDocument/2006/relationships/image" Target="media/e9ce78f68d616b4802715aecc12345176cb90650.png"/><Relationship Id="rId38" Type="http://schemas.openxmlformats.org/officeDocument/2006/relationships/image" Target="media/0e2a17da6cddcccbac081343fd6a7953748334c1.png"/><Relationship Id="rId39" Type="http://schemas.openxmlformats.org/officeDocument/2006/relationships/image" Target="media/527c839b348d36a9ca0e6c37010aa6629909b376.png"/><Relationship Id="rId40" Type="http://schemas.openxmlformats.org/officeDocument/2006/relationships/image" Target="media/8e9fa27c94acddcaf76235fe9ab11bcf33a128ed.png"/><Relationship Id="rId41" Type="http://schemas.openxmlformats.org/officeDocument/2006/relationships/image" Target="media/65f77ce18f35d42b3faf3bde35a37ecb554cf58d.png"/><Relationship Id="rId42" Type="http://schemas.openxmlformats.org/officeDocument/2006/relationships/image" Target="media/1d3da07fd880d5932e8e70e27adba7585931fa8f.png"/><Relationship Id="rId43" Type="http://schemas.openxmlformats.org/officeDocument/2006/relationships/image" Target="media/40830bfcfc126f72d23cf1c3492d1edab9ad5208.png"/><Relationship Id="rId44" Type="http://schemas.openxmlformats.org/officeDocument/2006/relationships/image" Target="media/52d9d0536fec7eccd8a9f309a514294d0a88c6cc.png"/><Relationship Id="rId45" Type="http://schemas.openxmlformats.org/officeDocument/2006/relationships/image" Target="media/e1f6466e8de4af2b0886fa402e80387197feb6b0.png"/><Relationship Id="rId46" Type="http://schemas.openxmlformats.org/officeDocument/2006/relationships/image" Target="media/e63eef8efa349b9793d43a20ae661c06c26460b1.png"/><Relationship Id="rId47" Type="http://schemas.openxmlformats.org/officeDocument/2006/relationships/image" Target="media/a44d4af743ed4d89e0bf5fd2b232e9b1bd7b1c15.png"/><Relationship Id="rId48" Type="http://schemas.openxmlformats.org/officeDocument/2006/relationships/image" Target="media/49b504a86a7682f380757d0dbd728b1e7b8d5a94.png"/><Relationship Id="rId49" Type="http://schemas.openxmlformats.org/officeDocument/2006/relationships/image" Target="media/6299ab774c35b1d87d64add1059dda2523b1f4c2.png"/><Relationship Id="rId50" Type="http://schemas.openxmlformats.org/officeDocument/2006/relationships/image" Target="media/6ecee74539ca3e761a387b702415a807b1f393d2.png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БД і програмний продукт NetGuard Monitor</dc:title>
  <dc:creator>Микитенко Ілля Андрійович</dc:creator>
  <cp:lastModifiedBy>Un-named</cp:lastModifiedBy>
  <cp:revision>1</cp:revision>
  <dcterms:created xsi:type="dcterms:W3CDTF">2026-10-21T12:47:16.315Z</dcterms:created>
  <dcterms:modified xsi:type="dcterms:W3CDTF">2026-10-21T12:47:16.315Z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