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markdown-feature-reference"/>
    <w:p>
      <w:pPr>
        <w:pStyle w:val="Heading1"/>
      </w:pPr>
      <w:r>
        <w:t xml:space="preserve">Markdown Feature Reference</w:t>
      </w:r>
    </w:p>
    <w:p>
      <w:pPr>
        <w:pStyle w:val="FirstParagraph"/>
      </w:pPr>
      <w:r>
        <w:t xml:space="preserve">A practical guide to every Markdown feature used in</w:t>
      </w:r>
      <w:r>
        <w:t xml:space="preserve"> </w:t>
      </w:r>
      <w:r>
        <w:rPr>
          <w:rFonts w:ascii="Cascadia Code" w:hAnsi="Cascadia Code" w:cs="Cascadia Code"/>
          <w:sz w:val="19"/>
          <w:szCs w:val="19"/>
          <w:shd w:val="clear" w:color="auto" w:fill="F0F0F0"/>
        </w:rPr>
        <w:t xml:space="preserve">artemis-program.md</w:t>
      </w:r>
      <w:r>
        <w:t xml:space="preserve">, with syntax examples and notes on compatibility.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headings">
        <w:r>
          <w:rPr>
            <w:rStyle w:val="Hyperlink"/>
          </w:rPr>
          <w:t xml:space="preserve">Headings</w:t>
        </w:r>
      </w:hyperlink>
    </w:p>
    <w:p>
      <w:pPr>
        <w:pStyle w:val="Compact"/>
        <w:numPr>
          <w:ilvl w:val="0"/>
          <w:numId w:val="1001"/>
        </w:numPr>
      </w:pPr>
      <w:hyperlink w:anchor="paragraphs-and-line-breaks">
        <w:r>
          <w:rPr>
            <w:rStyle w:val="Hyperlink"/>
          </w:rPr>
          <w:t xml:space="preserve">Paragraphs and Line Breaks</w:t>
        </w:r>
      </w:hyperlink>
    </w:p>
    <w:p>
      <w:pPr>
        <w:pStyle w:val="Compact"/>
        <w:numPr>
          <w:ilvl w:val="0"/>
          <w:numId w:val="1001"/>
        </w:numPr>
      </w:pPr>
      <w:hyperlink w:anchor="text-formatting">
        <w:r>
          <w:rPr>
            <w:rStyle w:val="Hyperlink"/>
          </w:rPr>
          <w:t xml:space="preserve">Text Formatting</w:t>
        </w:r>
      </w:hyperlink>
    </w:p>
    <w:p>
      <w:pPr>
        <w:pStyle w:val="Compact"/>
        <w:numPr>
          <w:ilvl w:val="0"/>
          <w:numId w:val="1001"/>
        </w:numPr>
      </w:pPr>
      <w:hyperlink w:anchor="blockquotes">
        <w:r>
          <w:rPr>
            <w:rStyle w:val="Hyperlink"/>
          </w:rPr>
          <w:t xml:space="preserve">Blockquotes</w:t>
        </w:r>
      </w:hyperlink>
    </w:p>
    <w:p>
      <w:pPr>
        <w:pStyle w:val="Compact"/>
        <w:numPr>
          <w:ilvl w:val="0"/>
          <w:numId w:val="1001"/>
        </w:numPr>
      </w:pPr>
      <w:hyperlink w:anchor="lists">
        <w:r>
          <w:rPr>
            <w:rStyle w:val="Hyperlink"/>
          </w:rPr>
          <w:t xml:space="preserve">Lists</w:t>
        </w:r>
      </w:hyperlink>
    </w:p>
    <w:p>
      <w:pPr>
        <w:pStyle w:val="Compact"/>
        <w:numPr>
          <w:ilvl w:val="0"/>
          <w:numId w:val="1001"/>
        </w:numPr>
      </w:pPr>
      <w:hyperlink w:anchor="task-lists-checkboxes">
        <w:r>
          <w:rPr>
            <w:rStyle w:val="Hyperlink"/>
          </w:rPr>
          <w:t xml:space="preserve">Task Lists (Checkboxes)</w:t>
        </w:r>
      </w:hyperlink>
    </w:p>
    <w:p>
      <w:pPr>
        <w:pStyle w:val="Compact"/>
        <w:numPr>
          <w:ilvl w:val="0"/>
          <w:numId w:val="1001"/>
        </w:numPr>
      </w:pPr>
      <w:hyperlink w:anchor="links">
        <w:r>
          <w:rPr>
            <w:rStyle w:val="Hyperlink"/>
          </w:rPr>
          <w:t xml:space="preserve">Links</w:t>
        </w:r>
      </w:hyperlink>
    </w:p>
    <w:p>
      <w:pPr>
        <w:pStyle w:val="Compact"/>
        <w:numPr>
          <w:ilvl w:val="0"/>
          <w:numId w:val="1001"/>
        </w:numPr>
      </w:pPr>
      <w:hyperlink w:anchor="images">
        <w:r>
          <w:rPr>
            <w:rStyle w:val="Hyperlink"/>
          </w:rPr>
          <w:t xml:space="preserve">Images</w:t>
        </w:r>
      </w:hyperlink>
    </w:p>
    <w:p>
      <w:pPr>
        <w:pStyle w:val="Compact"/>
        <w:numPr>
          <w:ilvl w:val="0"/>
          <w:numId w:val="1001"/>
        </w:numPr>
      </w:pPr>
      <w:hyperlink w:anchor="code">
        <w:r>
          <w:rPr>
            <w:rStyle w:val="Hyperlink"/>
          </w:rPr>
          <w:t xml:space="preserve">Code</w:t>
        </w:r>
      </w:hyperlink>
    </w:p>
    <w:p>
      <w:pPr>
        <w:pStyle w:val="Compact"/>
        <w:numPr>
          <w:ilvl w:val="0"/>
          <w:numId w:val="1001"/>
        </w:numPr>
      </w:pPr>
      <w:hyperlink w:anchor="tables">
        <w:r>
          <w:rPr>
            <w:rStyle w:val="Hyperlink"/>
          </w:rPr>
          <w:t xml:space="preserve">Tables</w:t>
        </w:r>
      </w:hyperlink>
    </w:p>
    <w:p>
      <w:pPr>
        <w:pStyle w:val="Compact"/>
        <w:numPr>
          <w:ilvl w:val="0"/>
          <w:numId w:val="1001"/>
        </w:numPr>
      </w:pPr>
      <w:hyperlink w:anchor="horizontal-rules">
        <w:r>
          <w:rPr>
            <w:rStyle w:val="Hyperlink"/>
          </w:rPr>
          <w:t xml:space="preserve">Horizontal Rules</w:t>
        </w:r>
      </w:hyperlink>
    </w:p>
    <w:p>
      <w:pPr>
        <w:pStyle w:val="Compact"/>
        <w:numPr>
          <w:ilvl w:val="0"/>
          <w:numId w:val="1001"/>
        </w:numPr>
      </w:pPr>
      <w:hyperlink w:anchor="footnotes">
        <w:r>
          <w:rPr>
            <w:rStyle w:val="Hyperlink"/>
          </w:rPr>
          <w:t xml:space="preserve">Footnotes</w:t>
        </w:r>
      </w:hyperlink>
    </w:p>
    <w:p>
      <w:pPr>
        <w:pStyle w:val="Compact"/>
        <w:numPr>
          <w:ilvl w:val="0"/>
          <w:numId w:val="1001"/>
        </w:numPr>
      </w:pPr>
      <w:hyperlink w:anchor="math-latex">
        <w:r>
          <w:rPr>
            <w:rStyle w:val="Hyperlink"/>
          </w:rPr>
          <w:t xml:space="preserve">Math (LaTeX)</w:t>
        </w:r>
      </w:hyperlink>
    </w:p>
    <w:p>
      <w:pPr>
        <w:pStyle w:val="Compact"/>
        <w:numPr>
          <w:ilvl w:val="0"/>
          <w:numId w:val="1001"/>
        </w:numPr>
      </w:pPr>
      <w:hyperlink w:anchor="mermaid-diagrams">
        <w:r>
          <w:rPr>
            <w:rStyle w:val="Hyperlink"/>
          </w:rPr>
          <w:t xml:space="preserve">Mermaid Diagrams</w:t>
        </w:r>
      </w:hyperlink>
    </w:p>
    <w:p>
      <w:pPr>
        <w:pStyle w:val="Compact"/>
        <w:numPr>
          <w:ilvl w:val="0"/>
          <w:numId w:val="1001"/>
        </w:numPr>
      </w:pPr>
      <w:hyperlink w:anchor="github-style-alerts">
        <w:r>
          <w:rPr>
            <w:rStyle w:val="Hyperlink"/>
          </w:rPr>
          <w:t xml:space="preserve">GitHub-Style Alerts</w:t>
        </w:r>
      </w:hyperlink>
    </w:p>
    <w:p>
      <w:pPr>
        <w:pStyle w:val="Compact"/>
        <w:numPr>
          <w:ilvl w:val="0"/>
          <w:numId w:val="1001"/>
        </w:numPr>
      </w:pPr>
      <w:hyperlink w:anchor="collapsible-sections">
        <w:r>
          <w:rPr>
            <w:rStyle w:val="Hyperlink"/>
          </w:rPr>
          <w:t xml:space="preserve">Collapsible Sections</w:t>
        </w:r>
      </w:hyperlink>
    </w:p>
    <w:p>
      <w:pPr>
        <w:pStyle w:val="Compact"/>
        <w:numPr>
          <w:ilvl w:val="0"/>
          <w:numId w:val="1001"/>
        </w:numPr>
      </w:pPr>
      <w:hyperlink w:anchor="definition-lists">
        <w:r>
          <w:rPr>
            <w:rStyle w:val="Hyperlink"/>
          </w:rPr>
          <w:t xml:space="preserve">Definition Lists</w:t>
        </w:r>
      </w:hyperlink>
    </w:p>
    <w:p>
      <w:pPr>
        <w:pStyle w:val="Compact"/>
        <w:numPr>
          <w:ilvl w:val="0"/>
          <w:numId w:val="1001"/>
        </w:numPr>
      </w:pPr>
      <w:hyperlink w:anchor="emoji">
        <w:r>
          <w:rPr>
            <w:rStyle w:val="Hyperlink"/>
          </w:rPr>
          <w:t xml:space="preserve">Emoji</w:t>
        </w:r>
      </w:hyperlink>
    </w:p>
    <w:p>
      <w:pPr>
        <w:pStyle w:val="Compact"/>
        <w:numPr>
          <w:ilvl w:val="0"/>
          <w:numId w:val="1001"/>
        </w:numPr>
      </w:pPr>
      <w:hyperlink w:anchor="html-in-markdown">
        <w:r>
          <w:rPr>
            <w:rStyle w:val="Hyperlink"/>
          </w:rPr>
          <w:t xml:space="preserve">HTML in Markdown</w:t>
        </w:r>
      </w:hyperlink>
    </w:p>
    <w:p>
      <w:pPr>
        <w:pStyle w:val="Compact"/>
        <w:numPr>
          <w:ilvl w:val="0"/>
          <w:numId w:val="1001"/>
        </w:numPr>
      </w:pPr>
      <w:hyperlink w:anchor="comments">
        <w:r>
          <w:rPr>
            <w:rStyle w:val="Hyperlink"/>
          </w:rPr>
          <w:t xml:space="preserve">Comments</w:t>
        </w:r>
      </w:hyperlink>
    </w:p>
    <w:p>
      <w:pPr>
        <w:pStyle w:val="Compact"/>
        <w:numPr>
          <w:ilvl w:val="0"/>
          <w:numId w:val="1001"/>
        </w:numPr>
      </w:pPr>
      <w:hyperlink w:anchor="compatibility-notes">
        <w:r>
          <w:rPr>
            <w:rStyle w:val="Hyperlink"/>
          </w:rPr>
          <w:t xml:space="preserve">Compatibility Notes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headings"/>
    <w:p>
      <w:pPr>
        <w:pStyle w:val="Heading2"/>
      </w:pPr>
      <w:r>
        <w:t xml:space="preserve">Headings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Fonts w:ascii="Cascadia Code" w:hAnsi="Cascadia Code" w:cs="Cascadia Code"/>
          <w:sz w:val="19"/>
          <w:szCs w:val="19"/>
          <w:shd w:val="clear" w:color="auto" w:fill="F0F0F0"/>
        </w:rPr>
        <w:t xml:space="preserve">#</w:t>
      </w:r>
      <w:r>
        <w:t xml:space="preserve"> </w:t>
      </w:r>
      <w:r>
        <w:t xml:space="preserve">symbols at the start of a line. More</w:t>
      </w:r>
      <w:r>
        <w:t xml:space="preserve"> </w:t>
      </w:r>
      <w:r>
        <w:rPr>
          <w:rFonts w:ascii="Cascadia Code" w:hAnsi="Cascadia Code" w:cs="Cascadia Code"/>
          <w:sz w:val="19"/>
          <w:szCs w:val="19"/>
          <w:shd w:val="clear" w:color="auto" w:fill="F0F0F0"/>
        </w:rPr>
        <w:t xml:space="preserve">#</w:t>
      </w:r>
      <w:r>
        <w:t xml:space="preserve"> </w:t>
      </w:r>
      <w:r>
        <w:t xml:space="preserve">symbols = smaller heading.</w:t>
      </w:r>
    </w:p>
    <w:p>
      <w:pPr>
        <w:pStyle w:val="BodyText"/>
      </w:pPr>
      <w:r>
        <w:rPr>
          <w:b/>
          <w:bCs/>
        </w:rPr>
        <w:t xml:space="preserve">Syntax: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# Heading 1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## Heading 2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### Heading 3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#### Heading 4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##### Heading 5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###### Heading 6</w:t>
      </w:r>
    </w:p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- Most documents use H1–H3. H4–H6 exist but are rarely needed.</w:t>
      </w:r>
      <w:r>
        <w:t xml:space="preserve"> </w:t>
      </w:r>
      <w:r>
        <w:t xml:space="preserve">- Always put a space after the</w:t>
      </w:r>
      <w:r>
        <w:t xml:space="preserve"> </w:t>
      </w:r>
      <w:r>
        <w:rPr>
          <w:rFonts w:ascii="Cascadia Code" w:hAnsi="Cascadia Code" w:cs="Cascadia Code"/>
          <w:sz w:val="19"/>
          <w:szCs w:val="19"/>
          <w:shd w:val="clear" w:color="auto" w:fill="F0F0F0"/>
        </w:rPr>
        <w:t xml:space="preserve">#</w:t>
      </w:r>
      <w:r>
        <w:t xml:space="preserve">.</w:t>
      </w:r>
      <w:r>
        <w:t xml:space="preserve"> </w:t>
      </w:r>
      <w:r>
        <w:t xml:space="preserve">- Use only one H1 per document (it’s your title).</w:t>
      </w:r>
    </w:p>
    <w:p>
      <w:r>
        <w:pict>
          <v:rect style="width:0;height:1.5pt" o:hralign="center" o:hrstd="t" o:hr="t"/>
        </w:pict>
      </w:r>
    </w:p>
    <w:bookmarkEnd w:id="10"/>
    <w:bookmarkStart w:id="11" w:name="paragraphs-and-line-breaks"/>
    <w:p>
      <w:pPr>
        <w:pStyle w:val="Heading2"/>
      </w:pPr>
      <w:r>
        <w:t xml:space="preserve">Paragraphs and Line Breaks</w:t>
      </w:r>
    </w:p>
    <w:p>
      <w:pPr>
        <w:pStyle w:val="FirstParagraph"/>
      </w:pPr>
      <w:r>
        <w:t xml:space="preserve">Paragraphs are separated by a blank line. A single newline within text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create a line break in most renderers.</w:t>
      </w:r>
    </w:p>
    <w:p>
      <w:pPr>
        <w:pStyle w:val="BodyText"/>
      </w:pPr>
      <w:r>
        <w:rPr>
          <w:b/>
          <w:bCs/>
        </w:rPr>
        <w:t xml:space="preserve">Syntax: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This is the first paragraph.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 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This is the second paragraph.</w:t>
      </w:r>
    </w:p>
    <w:p>
      <w:pPr>
        <w:pStyle w:val="BodyText"/>
      </w:pPr>
      <w:r>
        <w:t xml:space="preserve">To force a line break without starting a new paragraph, end a line with two spaces or use</w:t>
      </w:r>
      <w:r>
        <w:t xml:space="preserve"> </w:t>
      </w:r>
      <w:r>
        <w:rPr>
          <w:rFonts w:ascii="Cascadia Code" w:hAnsi="Cascadia Code" w:cs="Cascadia Code"/>
          <w:sz w:val="19"/>
          <w:szCs w:val="19"/>
          <w:shd w:val="clear" w:color="auto" w:fill="F0F0F0"/>
        </w:rPr>
        <w:t xml:space="preserve">&lt;br&gt;</w:t>
      </w:r>
      <w:r>
        <w:t xml:space="preserve">: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Line one with two trailing spaces  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Line two appears directly below.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 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Line one with a break tag&lt;br&gt;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Line two appears directly below.</w:t>
      </w:r>
    </w:p>
    <w:p>
      <w:r>
        <w:pict>
          <v:rect style="width:0;height:1.5pt" o:hralign="center" o:hrstd="t" o:hr="t"/>
        </w:pict>
      </w:r>
    </w:p>
    <w:bookmarkEnd w:id="11"/>
    <w:bookmarkStart w:id="12" w:name="text-formatting"/>
    <w:p>
      <w:pPr>
        <w:pStyle w:val="Heading2"/>
      </w:pPr>
      <w:r>
        <w:t xml:space="preserve">Text Formatting</w:t>
      </w:r>
    </w:p>
    <w:p>
      <w:pPr>
        <w:pStyle w:val="FirstParagraph"/>
      </w:pPr>
      <w:r>
        <w:rPr>
          <w:b/>
          <w:bCs/>
        </w:rPr>
        <w:t xml:space="preserve">Syntax: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**bold text**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*italic text*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***bold and italic***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~~strikethrough~~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`inline code`</w:t>
      </w:r>
    </w:p>
    <w:p>
      <w:pPr>
        <w:pStyle w:val="BodyText"/>
      </w:pPr>
      <w:r>
        <w:rPr>
          <w:b/>
          <w:bCs/>
        </w:rPr>
        <w:t xml:space="preserve">Renders as: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bold text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italic text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i/>
          <w:iCs/>
        </w:rPr>
        <w:t xml:space="preserve">bold and italic</w:t>
      </w:r>
    </w:p>
    <w:p>
      <w:pPr>
        <w:pStyle w:val="Compact"/>
        <w:numPr>
          <w:ilvl w:val="0"/>
          <w:numId w:val="1002"/>
        </w:numPr>
      </w:pPr>
      <w:r>
        <w:rPr>
          <w:strike/>
        </w:rPr>
        <w:t xml:space="preserve">strikethrough</w:t>
      </w:r>
    </w:p>
    <w:p>
      <w:pPr>
        <w:pStyle w:val="Compact"/>
        <w:numPr>
          <w:ilvl w:val="0"/>
          <w:numId w:val="1002"/>
        </w:numPr>
      </w:pPr>
      <w:r>
        <w:rPr>
          <w:rFonts w:ascii="Cascadia Code" w:hAnsi="Cascadia Code" w:cs="Cascadia Code"/>
          <w:sz w:val="19"/>
          <w:szCs w:val="19"/>
          <w:shd w:val="clear" w:color="auto" w:fill="F0F0F0"/>
        </w:rPr>
        <w:t xml:space="preserve">inline code</w:t>
      </w:r>
    </w:p>
    <w:p>
      <w:pPr>
        <w:pStyle w:val="FirstParagraph"/>
      </w:pPr>
      <w:r>
        <w:rPr>
          <w:b/>
          <w:bCs/>
        </w:rPr>
        <w:t xml:space="preserve">Notes:</w:t>
      </w:r>
      <w:r>
        <w:t xml:space="preserve"> </w:t>
      </w:r>
      <w:r>
        <w:t xml:space="preserve">- You can also use underscores (</w:t>
      </w:r>
      <w:r>
        <w:rPr>
          <w:rFonts w:ascii="Cascadia Code" w:hAnsi="Cascadia Code" w:cs="Cascadia Code"/>
          <w:sz w:val="19"/>
          <w:szCs w:val="19"/>
          <w:shd w:val="clear" w:color="auto" w:fill="F0F0F0"/>
        </w:rPr>
        <w:t xml:space="preserve">_italic_</w:t>
      </w:r>
      <w:r>
        <w:t xml:space="preserve">,</w:t>
      </w:r>
      <w:r>
        <w:t xml:space="preserve"> </w:t>
      </w:r>
      <w:r>
        <w:rPr>
          <w:rFonts w:ascii="Cascadia Code" w:hAnsi="Cascadia Code" w:cs="Cascadia Code"/>
          <w:sz w:val="19"/>
          <w:szCs w:val="19"/>
          <w:shd w:val="clear" w:color="auto" w:fill="F0F0F0"/>
        </w:rPr>
        <w:t xml:space="preserve">__bold__</w:t>
      </w:r>
      <w:r>
        <w:t xml:space="preserve">) but asterisks are more common and work in more contexts (e.g., mid-word).</w:t>
      </w:r>
      <w:r>
        <w:t xml:space="preserve"> </w:t>
      </w:r>
      <w:r>
        <w:t xml:space="preserve">- Strikethrough (</w:t>
      </w:r>
      <w:r>
        <w:rPr>
          <w:rFonts w:ascii="Cascadia Code" w:hAnsi="Cascadia Code" w:cs="Cascadia Code"/>
          <w:sz w:val="19"/>
          <w:szCs w:val="19"/>
          <w:shd w:val="clear" w:color="auto" w:fill="F0F0F0"/>
        </w:rPr>
        <w:t xml:space="preserve">~~</w:t>
      </w:r>
      <w:r>
        <w:t xml:space="preserve">) is a GitHub Flavored Markdown (GFM) extension — not part of the original spec.</w:t>
      </w:r>
    </w:p>
    <w:p>
      <w:r>
        <w:pict>
          <v:rect style="width:0;height:1.5pt" o:hralign="center" o:hrstd="t" o:hr="t"/>
        </w:pict>
      </w:r>
    </w:p>
    <w:bookmarkEnd w:id="12"/>
    <w:bookmarkStart w:id="13" w:name="blockquotes"/>
    <w:p>
      <w:pPr>
        <w:pStyle w:val="Heading2"/>
      </w:pPr>
      <w:r>
        <w:t xml:space="preserve">Blockquotes</w:t>
      </w:r>
    </w:p>
    <w:p>
      <w:pPr>
        <w:pStyle w:val="FirstParagraph"/>
      </w:pPr>
      <w:r>
        <w:t xml:space="preserve">Prefix lines with</w:t>
      </w:r>
      <w:r>
        <w:t xml:space="preserve"> </w:t>
      </w:r>
      <w:r>
        <w:rPr>
          <w:rFonts w:ascii="Cascadia Code" w:hAnsi="Cascadia Code" w:cs="Cascadia Code"/>
          <w:sz w:val="19"/>
          <w:szCs w:val="19"/>
          <w:shd w:val="clear" w:color="auto" w:fill="F0F0F0"/>
        </w:rPr>
        <w:t xml:space="preserve">&gt;</w:t>
      </w:r>
      <w:r>
        <w:t xml:space="preserve">. You can nest them and combine with other formatting.</w:t>
      </w:r>
    </w:p>
    <w:p>
      <w:pPr>
        <w:pStyle w:val="BodyText"/>
      </w:pPr>
      <w:r>
        <w:rPr>
          <w:b/>
          <w:bCs/>
        </w:rPr>
        <w:t xml:space="preserve">Syntax: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&gt; This is a blockquote.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 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&gt; This is a multi-line blockquote.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&gt; It continues on the next line.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 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&gt; **Nested blockquote:**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&gt;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&gt; &gt; This is indented one level deeper.</w:t>
      </w:r>
    </w:p>
    <w:p>
      <w:pPr>
        <w:pStyle w:val="BodyText"/>
      </w:pPr>
      <w:r>
        <w:rPr>
          <w:b/>
          <w:bCs/>
        </w:rPr>
        <w:t xml:space="preserve">Renders as:</w:t>
      </w:r>
    </w:p>
    <w:p>
      <w:pPr>
        <w:pStyle w:val="BlockText"/>
      </w:pPr>
      <w:r>
        <w:t xml:space="preserve">This is a blockquote.</w:t>
      </w:r>
    </w:p>
    <w:p>
      <w:pPr>
        <w:pStyle w:val="BlockText"/>
      </w:pPr>
      <w:r>
        <w:t xml:space="preserve">This is a multi-line blockquote.</w:t>
      </w:r>
      <w:r>
        <w:t xml:space="preserve"> </w:t>
      </w:r>
      <w:r>
        <w:t xml:space="preserve">It continues on the next line.</w:t>
      </w:r>
    </w:p>
    <w:p>
      <w:pPr>
        <w:pStyle w:val="BlockText"/>
      </w:pPr>
      <w:r>
        <w:rPr>
          <w:b/>
          <w:bCs/>
        </w:rPr>
        <w:t xml:space="preserve">Nested blockquote:</w:t>
      </w:r>
    </w:p>
    <w:p>
      <w:pPr>
        <w:pStyle w:val="BlockText"/>
      </w:pPr>
      <w:r>
        <w:t xml:space="preserve">This is indented one level deeper.</w:t>
      </w:r>
    </w:p>
    <w:p>
      <w:r>
        <w:pict>
          <v:rect style="width:0;height:1.5pt" o:hralign="center" o:hrstd="t" o:hr="t"/>
        </w:pict>
      </w:r>
    </w:p>
    <w:bookmarkEnd w:id="13"/>
    <w:bookmarkStart w:id="16" w:name="lists"/>
    <w:p>
      <w:pPr>
        <w:pStyle w:val="Heading2"/>
      </w:pPr>
      <w:r>
        <w:t xml:space="preserve">Lists</w:t>
      </w:r>
    </w:p>
    <w:bookmarkStart w:id="14" w:name="unordered-lists"/>
    <w:p>
      <w:pPr>
        <w:pStyle w:val="Heading3"/>
      </w:pPr>
      <w:r>
        <w:t xml:space="preserve">Unordered Lists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Fonts w:ascii="Cascadia Code" w:hAnsi="Cascadia Code" w:cs="Cascadia Code"/>
          <w:sz w:val="19"/>
          <w:szCs w:val="19"/>
          <w:shd w:val="clear" w:color="auto" w:fill="F0F0F0"/>
        </w:rPr>
        <w:t xml:space="preserve">-</w:t>
      </w:r>
      <w:r>
        <w:t xml:space="preserve">,</w:t>
      </w:r>
      <w:r>
        <w:t xml:space="preserve"> </w:t>
      </w:r>
      <w:r>
        <w:rPr>
          <w:rFonts w:ascii="Cascadia Code" w:hAnsi="Cascadia Code" w:cs="Cascadia Code"/>
          <w:sz w:val="19"/>
          <w:szCs w:val="19"/>
          <w:shd w:val="clear" w:color="auto" w:fill="F0F0F0"/>
        </w:rPr>
        <w:t xml:space="preserve">*</w:t>
      </w:r>
      <w:r>
        <w:t xml:space="preserve">, or</w:t>
      </w:r>
      <w:r>
        <w:t xml:space="preserve"> </w:t>
      </w:r>
      <w:r>
        <w:rPr>
          <w:rFonts w:ascii="Cascadia Code" w:hAnsi="Cascadia Code" w:cs="Cascadia Code"/>
          <w:sz w:val="19"/>
          <w:szCs w:val="19"/>
          <w:shd w:val="clear" w:color="auto" w:fill="F0F0F0"/>
        </w:rPr>
        <w:t xml:space="preserve">+</w:t>
      </w:r>
      <w:r>
        <w:t xml:space="preserve"> </w:t>
      </w:r>
      <w:r>
        <w:t xml:space="preserve">followed by a space. Indent with two or four spaces for nesting.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- Item one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- Item two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  - Nested item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  - Another nested item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    - Deeply nested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- Item three</w:t>
      </w:r>
    </w:p>
    <w:p>
      <w:pPr>
        <w:pStyle w:val="Compact"/>
        <w:numPr>
          <w:ilvl w:val="0"/>
          <w:numId w:val="1003"/>
        </w:numPr>
      </w:pPr>
      <w:r>
        <w:t xml:space="preserve">Item one</w:t>
      </w:r>
    </w:p>
    <w:p>
      <w:pPr>
        <w:pStyle w:val="Compact"/>
        <w:numPr>
          <w:ilvl w:val="0"/>
          <w:numId w:val="1003"/>
        </w:numPr>
      </w:pPr>
      <w:r>
        <w:t xml:space="preserve">Item two</w:t>
      </w:r>
    </w:p>
    <w:p>
      <w:pPr>
        <w:pStyle w:val="Compact"/>
        <w:numPr>
          <w:ilvl w:val="1"/>
          <w:numId w:val="1004"/>
        </w:numPr>
      </w:pPr>
      <w:r>
        <w:t xml:space="preserve">Nested item</w:t>
      </w:r>
    </w:p>
    <w:p>
      <w:pPr>
        <w:pStyle w:val="Compact"/>
        <w:numPr>
          <w:ilvl w:val="1"/>
          <w:numId w:val="1004"/>
        </w:numPr>
      </w:pPr>
      <w:r>
        <w:t xml:space="preserve">Another nested item</w:t>
      </w:r>
    </w:p>
    <w:p>
      <w:pPr>
        <w:pStyle w:val="Compact"/>
        <w:numPr>
          <w:ilvl w:val="2"/>
          <w:numId w:val="1005"/>
        </w:numPr>
      </w:pPr>
      <w:r>
        <w:t xml:space="preserve">Deeply nested</w:t>
      </w:r>
    </w:p>
    <w:p>
      <w:pPr>
        <w:pStyle w:val="Compact"/>
        <w:numPr>
          <w:ilvl w:val="0"/>
          <w:numId w:val="1003"/>
        </w:numPr>
      </w:pPr>
      <w:r>
        <w:t xml:space="preserve">Item three</w:t>
      </w:r>
    </w:p>
    <w:bookmarkEnd w:id="14"/>
    <w:bookmarkStart w:id="15" w:name="ordered-lists"/>
    <w:p>
      <w:pPr>
        <w:pStyle w:val="Heading3"/>
      </w:pPr>
      <w:r>
        <w:t xml:space="preserve">Ordered Lists</w:t>
      </w:r>
    </w:p>
    <w:p>
      <w:pPr>
        <w:pStyle w:val="FirstParagraph"/>
      </w:pPr>
      <w:r>
        <w:t xml:space="preserve">Use numbers followed by a period. The actual numbers don’t matter — Markdown auto-numbers them.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1. First item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2. Second item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3. Third item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   1. Sub-item A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   2. Sub-item B</w:t>
      </w:r>
    </w:p>
    <w:p>
      <w:pPr>
        <w:pStyle w:val="Compact"/>
        <w:numPr>
          <w:ilvl w:val="0"/>
          <w:numId w:val="1006"/>
        </w:numPr>
      </w:pPr>
      <w:r>
        <w:t xml:space="preserve">First item</w:t>
      </w:r>
    </w:p>
    <w:p>
      <w:pPr>
        <w:pStyle w:val="Compact"/>
        <w:numPr>
          <w:ilvl w:val="0"/>
          <w:numId w:val="1006"/>
        </w:numPr>
      </w:pPr>
      <w:r>
        <w:t xml:space="preserve">Second item</w:t>
      </w:r>
    </w:p>
    <w:p>
      <w:pPr>
        <w:pStyle w:val="Compact"/>
        <w:numPr>
          <w:ilvl w:val="0"/>
          <w:numId w:val="1006"/>
        </w:numPr>
      </w:pPr>
      <w:r>
        <w:t xml:space="preserve">Third item</w:t>
      </w:r>
    </w:p>
    <w:p>
      <w:pPr>
        <w:pStyle w:val="Compact"/>
        <w:numPr>
          <w:ilvl w:val="1"/>
          <w:numId w:val="1007"/>
        </w:numPr>
      </w:pPr>
      <w:r>
        <w:t xml:space="preserve">Sub-item A</w:t>
      </w:r>
    </w:p>
    <w:p>
      <w:pPr>
        <w:pStyle w:val="Compact"/>
        <w:numPr>
          <w:ilvl w:val="1"/>
          <w:numId w:val="1007"/>
        </w:numPr>
      </w:pPr>
      <w:r>
        <w:t xml:space="preserve">Sub-item B</w:t>
      </w:r>
    </w:p>
    <w:p>
      <w:pPr>
        <w:pStyle w:val="FirstParagraph"/>
      </w:pPr>
      <w:r>
        <w:rPr>
          <w:b/>
          <w:bCs/>
        </w:rPr>
        <w:t xml:space="preserve">Notes:</w:t>
      </w:r>
      <w:r>
        <w:t xml:space="preserve"> </w:t>
      </w:r>
      <w:r>
        <w:t xml:space="preserve">- You can use</w:t>
      </w:r>
      <w:r>
        <w:t xml:space="preserve"> </w:t>
      </w:r>
      <w:r>
        <w:rPr>
          <w:rFonts w:ascii="Cascadia Code" w:hAnsi="Cascadia Code" w:cs="Cascadia Code"/>
          <w:sz w:val="19"/>
          <w:szCs w:val="19"/>
          <w:shd w:val="clear" w:color="auto" w:fill="F0F0F0"/>
        </w:rPr>
        <w:t xml:space="preserve">1.</w:t>
      </w:r>
      <w:r>
        <w:t xml:space="preserve"> </w:t>
      </w:r>
      <w:r>
        <w:t xml:space="preserve">for every item and Markdown will still number them correctly.</w:t>
      </w:r>
      <w:r>
        <w:t xml:space="preserve"> </w:t>
      </w:r>
      <w:r>
        <w:t xml:space="preserve">- To include multiple paragraphs or code blocks inside a list item, indent them to align with the list content.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task-lists-checkboxes"/>
    <w:p>
      <w:pPr>
        <w:pStyle w:val="Heading2"/>
      </w:pPr>
      <w:r>
        <w:t xml:space="preserve">Task Lists (Checkboxes)</w:t>
      </w:r>
    </w:p>
    <w:p>
      <w:pPr>
        <w:pStyle w:val="FirstParagraph"/>
      </w:pPr>
      <w:r>
        <w:t xml:space="preserve">A GFM extension. Use</w:t>
      </w:r>
      <w:r>
        <w:t xml:space="preserve"> </w:t>
      </w:r>
      <w:r>
        <w:rPr>
          <w:rFonts w:ascii="Cascadia Code" w:hAnsi="Cascadia Code" w:cs="Cascadia Code"/>
          <w:sz w:val="19"/>
          <w:szCs w:val="19"/>
          <w:shd w:val="clear" w:color="auto" w:fill="F0F0F0"/>
        </w:rPr>
        <w:t xml:space="preserve">- [ ]</w:t>
      </w:r>
      <w:r>
        <w:t xml:space="preserve"> </w:t>
      </w:r>
      <w:r>
        <w:t xml:space="preserve">for unchecked and</w:t>
      </w:r>
      <w:r>
        <w:t xml:space="preserve"> </w:t>
      </w:r>
      <w:r>
        <w:rPr>
          <w:rFonts w:ascii="Cascadia Code" w:hAnsi="Cascadia Code" w:cs="Cascadia Code"/>
          <w:sz w:val="19"/>
          <w:szCs w:val="19"/>
          <w:shd w:val="clear" w:color="auto" w:fill="F0F0F0"/>
        </w:rPr>
        <w:t xml:space="preserve">- [x]</w:t>
      </w:r>
      <w:r>
        <w:t xml:space="preserve"> </w:t>
      </w:r>
      <w:r>
        <w:t xml:space="preserve">for checked.</w:t>
      </w:r>
    </w:p>
    <w:p>
      <w:pPr>
        <w:pStyle w:val="BodyText"/>
      </w:pPr>
      <w:r>
        <w:rPr>
          <w:b/>
          <w:bCs/>
        </w:rPr>
        <w:t xml:space="preserve">Syntax: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- [x] Completed task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- [ ] Incomplete task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- [ ] Another incomplete task</w:t>
      </w:r>
    </w:p>
    <w:p>
      <w:pPr>
        <w:pStyle w:val="BodyText"/>
      </w:pPr>
      <w:r>
        <w:rPr>
          <w:b/>
          <w:bCs/>
        </w:rPr>
        <w:t xml:space="preserve">Renders as:</w:t>
      </w:r>
    </w:p>
    <w:p>
      <w:pPr>
        <w:pStyle w:val="Compact"/>
        <w:numPr>
          <w:ilvl w:val="0"/>
          <w:numId w:val="1008"/>
        </w:numPr>
      </w:pPr>
      <w:r>
        <w:t xml:space="preserve">Completed task</w:t>
      </w:r>
    </w:p>
    <w:p>
      <w:pPr>
        <w:pStyle w:val="Compact"/>
        <w:numPr>
          <w:ilvl w:val="0"/>
          <w:numId w:val="1009"/>
        </w:numPr>
      </w:pPr>
      <w:r>
        <w:t xml:space="preserve">Incomplete task</w:t>
      </w:r>
    </w:p>
    <w:p>
      <w:pPr>
        <w:pStyle w:val="Compact"/>
        <w:numPr>
          <w:ilvl w:val="0"/>
          <w:numId w:val="1010"/>
        </w:numPr>
      </w:pPr>
      <w:r>
        <w:t xml:space="preserve">Another incomplete task</w:t>
      </w:r>
    </w:p>
    <w:p>
      <w:pPr>
        <w:pStyle w:val="FirstParagraph"/>
      </w:pPr>
      <w:r>
        <w:rPr>
          <w:b/>
          <w:bCs/>
        </w:rPr>
        <w:t xml:space="preserve">Notes:</w:t>
      </w:r>
      <w:r>
        <w:t xml:space="preserve"> </w:t>
      </w:r>
      <w:r>
        <w:t xml:space="preserve">- On GitHub, these render as interactive checkboxes in issues and PRs.</w:t>
      </w:r>
      <w:r>
        <w:t xml:space="preserve"> </w:t>
      </w:r>
      <w:r>
        <w:t xml:space="preserve">- In most other renderers, they display as static checked/unchecked boxes.</w:t>
      </w:r>
    </w:p>
    <w:p>
      <w:r>
        <w:pict>
          <v:rect style="width:0;height:1.5pt" o:hralign="center" o:hrstd="t" o:hr="t"/>
        </w:pict>
      </w:r>
    </w:p>
    <w:bookmarkEnd w:id="17"/>
    <w:bookmarkStart w:id="22" w:name="links"/>
    <w:p>
      <w:pPr>
        <w:pStyle w:val="Heading2"/>
      </w:pPr>
      <w:r>
        <w:t xml:space="preserve">Links</w:t>
      </w:r>
    </w:p>
    <w:bookmarkStart w:id="19" w:name="inline-links"/>
    <w:p>
      <w:pPr>
        <w:pStyle w:val="Heading3"/>
      </w:pPr>
      <w:r>
        <w:t xml:space="preserve">Inline Links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[Link text](https://example.com)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[Link with title](https://example.com "Hover text")</w:t>
      </w:r>
    </w:p>
    <w:p>
      <w:pPr>
        <w:pStyle w:val="FirstParagraph"/>
      </w:pPr>
      <w:hyperlink r:id="rId18">
        <w:r>
          <w:rPr>
            <w:rStyle w:val="Hyperlink"/>
          </w:rPr>
          <w:t xml:space="preserve">Link text</w:t>
        </w:r>
      </w:hyperlink>
      <w:r>
        <w:t xml:space="preserve"> </w:t>
      </w:r>
      <w:hyperlink r:id="rId18">
        <w:r>
          <w:rPr>
            <w:rStyle w:val="Hyperlink"/>
          </w:rPr>
          <w:t xml:space="preserve">Link with title</w:t>
        </w:r>
      </w:hyperlink>
    </w:p>
    <w:bookmarkEnd w:id="19"/>
    <w:bookmarkStart w:id="20" w:name="anchor-links-internal"/>
    <w:p>
      <w:pPr>
        <w:pStyle w:val="Heading3"/>
      </w:pPr>
      <w:r>
        <w:t xml:space="preserve">Anchor Links (Internal)</w:t>
      </w:r>
    </w:p>
    <w:p>
      <w:pPr>
        <w:pStyle w:val="FirstParagraph"/>
      </w:pPr>
      <w:r>
        <w:t xml:space="preserve">Link to a heading within the same document. The anchor is the heading text, lowercased, with spaces replaced by hyphens and special characters removed.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[Jump to Tables](#tables)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[Jump to Budget &amp; Funding](#budget--funding)</w:t>
      </w:r>
    </w:p>
    <w:p>
      <w:pPr>
        <w:pStyle w:val="BodyText"/>
      </w:pPr>
      <w:r>
        <w:rPr>
          <w:b/>
          <w:bCs/>
        </w:rPr>
        <w:t xml:space="preserve">Rules for anchor generation:</w:t>
      </w:r>
      <w:r>
        <w:t xml:space="preserve"> </w:t>
      </w:r>
      <w:r>
        <w:t xml:space="preserve">- Lowercase everything</w:t>
      </w:r>
      <w:r>
        <w:t xml:space="preserve"> </w:t>
      </w:r>
      <w:r>
        <w:t xml:space="preserve">- Replace spaces with</w:t>
      </w:r>
      <w:r>
        <w:t xml:space="preserve"> </w:t>
      </w:r>
      <w:r>
        <w:rPr>
          <w:rFonts w:ascii="Cascadia Code" w:hAnsi="Cascadia Code" w:cs="Cascadia Code"/>
          <w:sz w:val="19"/>
          <w:szCs w:val="19"/>
          <w:shd w:val="clear" w:color="auto" w:fill="F0F0F0"/>
        </w:rPr>
        <w:t xml:space="preserve">-</w:t>
      </w:r>
      <w:r>
        <w:t xml:space="preserve"> </w:t>
      </w:r>
      <w:r>
        <w:t xml:space="preserve">- Remove special characters except hyphens</w:t>
      </w:r>
      <w:r>
        <w:t xml:space="preserve"> </w:t>
      </w:r>
      <w:r>
        <w:t xml:space="preserve">-</w:t>
      </w:r>
      <w:r>
        <w:t xml:space="preserve"> </w:t>
      </w:r>
      <w:r>
        <w:rPr>
          <w:rFonts w:ascii="Cascadia Code" w:hAnsi="Cascadia Code" w:cs="Cascadia Code"/>
          <w:sz w:val="19"/>
          <w:szCs w:val="19"/>
          <w:shd w:val="clear" w:color="auto" w:fill="F0F0F0"/>
        </w:rPr>
        <w:t xml:space="preserve">&amp;</w:t>
      </w:r>
      <w:r>
        <w:t xml:space="preserve"> </w:t>
      </w:r>
      <w:r>
        <w:t xml:space="preserve">becomes nothing, so</w:t>
      </w:r>
      <w:r>
        <w:t xml:space="preserve"> </w:t>
      </w:r>
      <w:r>
        <w:t xml:space="preserve">“Budget &amp; Funding”</w:t>
      </w:r>
      <w:r>
        <w:t xml:space="preserve"> </w:t>
      </w:r>
      <w:r>
        <w:t xml:space="preserve">→</w:t>
      </w:r>
      <w:r>
        <w:t xml:space="preserve"> </w:t>
      </w:r>
      <w:r>
        <w:rPr>
          <w:rFonts w:ascii="Cascadia Code" w:hAnsi="Cascadia Code" w:cs="Cascadia Code"/>
          <w:sz w:val="19"/>
          <w:szCs w:val="19"/>
          <w:shd w:val="clear" w:color="auto" w:fill="F0F0F0"/>
        </w:rPr>
        <w:t xml:space="preserve">budget--funding</w:t>
      </w:r>
    </w:p>
    <w:bookmarkEnd w:id="20"/>
    <w:bookmarkStart w:id="21" w:name="autolinks"/>
    <w:p>
      <w:pPr>
        <w:pStyle w:val="Heading3"/>
      </w:pPr>
      <w:r>
        <w:t xml:space="preserve">Autolinks</w:t>
      </w:r>
    </w:p>
    <w:p>
      <w:pPr>
        <w:pStyle w:val="FirstParagraph"/>
      </w:pPr>
      <w:r>
        <w:t xml:space="preserve">Most renderers automatically turn URLs into clickable links: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https://www.nasa.gov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images"/>
    <w:p>
      <w:pPr>
        <w:pStyle w:val="Heading2"/>
      </w:pPr>
      <w:r>
        <w:t xml:space="preserve">Images</w:t>
      </w:r>
    </w:p>
    <w:p>
      <w:pPr>
        <w:pStyle w:val="FirstParagraph"/>
      </w:pPr>
      <w:r>
        <w:t xml:space="preserve">Same syntax as links, but prefixed with</w:t>
      </w:r>
      <w:r>
        <w:t xml:space="preserve"> </w:t>
      </w:r>
      <w:r>
        <w:rPr>
          <w:rFonts w:ascii="Cascadia Code" w:hAnsi="Cascadia Code" w:cs="Cascadia Code"/>
          <w:sz w:val="19"/>
          <w:szCs w:val="19"/>
          <w:shd w:val="clear" w:color="auto" w:fill="F0F0F0"/>
        </w:rPr>
        <w:t xml:space="preserve">!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Syntax: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![Alt text](https://example.com/image.png)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![Alt text](https://example.com/image.png "Optional title")</w:t>
      </w:r>
    </w:p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- Alt text is important for accessibility — describe what the image shows.</w:t>
      </w:r>
      <w:r>
        <w:t xml:space="preserve"> </w:t>
      </w:r>
      <w:r>
        <w:t xml:space="preserve">- The title (in quotes) appears as a tooltip on hover.</w:t>
      </w:r>
      <w:r>
        <w:t xml:space="preserve"> </w:t>
      </w:r>
      <w:r>
        <w:t xml:space="preserve">- Markdown has no native syntax for image sizing. Use HTML if you need to control dimensions: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&lt;img src="image.png" alt="Description" width="400"&gt;</w:t>
      </w:r>
    </w:p>
    <w:p>
      <w:r>
        <w:pict>
          <v:rect style="width:0;height:1.5pt" o:hralign="center" o:hrstd="t" o:hr="t"/>
        </w:pict>
      </w:r>
    </w:p>
    <w:bookmarkEnd w:id="23"/>
    <w:bookmarkStart w:id="28" w:name="code"/>
    <w:p>
      <w:pPr>
        <w:pStyle w:val="Heading2"/>
      </w:pPr>
      <w:r>
        <w:t xml:space="preserve">Code</w:t>
      </w:r>
    </w:p>
    <w:bookmarkStart w:id="24" w:name="inline-code"/>
    <w:p>
      <w:pPr>
        <w:pStyle w:val="Heading3"/>
      </w:pPr>
      <w:r>
        <w:t xml:space="preserve">Inline Code</w:t>
      </w:r>
    </w:p>
    <w:p>
      <w:pPr>
        <w:pStyle w:val="FirstParagraph"/>
      </w:pPr>
      <w:r>
        <w:t xml:space="preserve">Wrap text in single backticks.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Use the `print()` function to output text.</w:t>
      </w:r>
    </w:p>
    <w:p>
      <w:pPr>
        <w:pStyle w:val="BodyText"/>
      </w:pPr>
      <w:r>
        <w:t xml:space="preserve">Use the</w:t>
      </w:r>
      <w:r>
        <w:t xml:space="preserve"> </w:t>
      </w:r>
      <w:r>
        <w:rPr>
          <w:rFonts w:ascii="Cascadia Code" w:hAnsi="Cascadia Code" w:cs="Cascadia Code"/>
          <w:sz w:val="19"/>
          <w:szCs w:val="19"/>
          <w:shd w:val="clear" w:color="auto" w:fill="F0F0F0"/>
        </w:rPr>
        <w:t xml:space="preserve">print()</w:t>
      </w:r>
      <w:r>
        <w:t xml:space="preserve"> </w:t>
      </w:r>
      <w:r>
        <w:t xml:space="preserve">function to output text.</w:t>
      </w:r>
    </w:p>
    <w:bookmarkEnd w:id="24"/>
    <w:bookmarkStart w:id="25" w:name="fenced-code-blocks"/>
    <w:p>
      <w:pPr>
        <w:pStyle w:val="Heading3"/>
      </w:pPr>
      <w:r>
        <w:t xml:space="preserve">Fenced Code Blocks</w:t>
      </w:r>
    </w:p>
    <w:p>
      <w:pPr>
        <w:pStyle w:val="FirstParagraph"/>
      </w:pPr>
      <w:r>
        <w:t xml:space="preserve">Use triple backticks (</w:t>
      </w:r>
      <w:r>
        <w:rPr>
          <w:rFonts w:ascii="Cascadia Code" w:hAnsi="Cascadia Code" w:cs="Cascadia Code"/>
          <w:sz w:val="19"/>
          <w:szCs w:val="19"/>
          <w:shd w:val="clear" w:color="auto" w:fill="F0F0F0"/>
        </w:rPr>
        <w:t xml:space="preserve">```</w:t>
      </w:r>
      <w:r>
        <w:t xml:space="preserve">) with an optional language identifier for syntax highlighting.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```python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def greet(name: str) -&gt; str: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    return f"Hello, {name}!"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```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def greet(name: str) -&gt; str: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    return f"Hello, {name}!"</w:t>
      </w:r>
    </w:p>
    <w:bookmarkEnd w:id="25"/>
    <w:bookmarkStart w:id="26" w:name="common-language-identifiers"/>
    <w:p>
      <w:pPr>
        <w:pStyle w:val="Heading3"/>
      </w:pPr>
      <w:r>
        <w:t xml:space="preserve">Common Language Identifiers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scadia Code" w:hAnsi="Cascadia Code" w:cs="Cascadia Code"/>
                <w:sz w:val="19"/>
                <w:szCs w:val="19"/>
                <w:shd w:val="clear" w:color="auto" w:fill="F0F0F0"/>
              </w:rP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scadia Code" w:hAnsi="Cascadia Code" w:cs="Cascadia Code"/>
                <w:sz w:val="19"/>
                <w:szCs w:val="19"/>
                <w:shd w:val="clear" w:color="auto" w:fill="F0F0F0"/>
              </w:rPr>
              <w:t xml:space="preserve">javascript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scadia Code" w:hAnsi="Cascadia Code" w:cs="Cascadia Code"/>
                <w:sz w:val="19"/>
                <w:szCs w:val="19"/>
                <w:shd w:val="clear" w:color="auto" w:fill="F0F0F0"/>
              </w:rP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scadia Code" w:hAnsi="Cascadia Code" w:cs="Cascadia Code"/>
                <w:sz w:val="19"/>
                <w:szCs w:val="19"/>
                <w:shd w:val="clear" w:color="auto" w:fill="F0F0F0"/>
              </w:rP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scadia Code" w:hAnsi="Cascadia Code" w:cs="Cascadia Code"/>
                <w:sz w:val="19"/>
                <w:szCs w:val="19"/>
                <w:shd w:val="clear" w:color="auto" w:fill="F0F0F0"/>
              </w:rPr>
              <w:t xml:space="preserve">bash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Bash / Shell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scadia Code" w:hAnsi="Cascadia Code" w:cs="Cascadia Code"/>
                <w:sz w:val="19"/>
                <w:szCs w:val="19"/>
                <w:shd w:val="clear" w:color="auto" w:fill="F0F0F0"/>
              </w:rPr>
              <w:t xml:space="preserve">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scadia Code" w:hAnsi="Cascadia Code" w:cs="Cascadia Code"/>
                <w:sz w:val="19"/>
                <w:szCs w:val="19"/>
                <w:shd w:val="clear" w:color="auto" w:fill="F0F0F0"/>
              </w:rPr>
              <w:t xml:space="preserve">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scadia Code" w:hAnsi="Cascadia Code" w:cs="Cascadia Code"/>
                <w:sz w:val="19"/>
                <w:szCs w:val="19"/>
                <w:shd w:val="clear" w:color="auto" w:fill="F0F0F0"/>
              </w:rPr>
              <w:t xml:space="preserve">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scadia Code" w:hAnsi="Cascadia Code" w:cs="Cascadia Code"/>
                <w:sz w:val="19"/>
                <w:szCs w:val="19"/>
                <w:shd w:val="clear" w:color="auto" w:fill="F0F0F0"/>
              </w:rPr>
              <w:t xml:space="preserve">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scadia Code" w:hAnsi="Cascadia Code" w:cs="Cascadia Code"/>
                <w:sz w:val="19"/>
                <w:szCs w:val="19"/>
                <w:shd w:val="clear" w:color="auto" w:fill="F0F0F0"/>
              </w:rPr>
              <w:t xml:space="preserve">markdown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scadia Code" w:hAnsi="Cascadia Code" w:cs="Cascadia Code"/>
                <w:sz w:val="19"/>
                <w:szCs w:val="19"/>
                <w:shd w:val="clear" w:color="auto" w:fill="F0F0F0"/>
              </w:rPr>
              <w:t xml:space="preserve">mermaid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Mermaid diagram</w:t>
            </w:r>
          </w:p>
        </w:tc>
      </w:tr>
    </w:tbl>
    <w:p>
      <w:pPr>
        <w:pStyle w:val="BodyText"/>
      </w:pPr>
      <w:r>
        <w:rPr>
          <w:b/>
          <w:bCs/>
        </w:rPr>
        <w:t xml:space="preserve">Tip:</w:t>
      </w:r>
      <w:r>
        <w:t xml:space="preserve"> </w:t>
      </w:r>
      <w:r>
        <w:t xml:space="preserve">Use a plain code block (no language) for ASCII art or generic preformatted text: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```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┌──────────┐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│  Box     │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└──────────┘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```</w:t>
      </w:r>
    </w:p>
    <w:bookmarkEnd w:id="26"/>
    <w:bookmarkStart w:id="27" w:name="showing-backticks-inside-code-blocks"/>
    <w:p>
      <w:pPr>
        <w:pStyle w:val="Heading3"/>
      </w:pPr>
      <w:r>
        <w:t xml:space="preserve">Showing Backticks Inside Code Blocks</w:t>
      </w:r>
    </w:p>
    <w:p>
      <w:pPr>
        <w:pStyle w:val="FirstParagraph"/>
      </w:pPr>
      <w:r>
        <w:t xml:space="preserve">To display triple backticks inside a code block, wrap the outer fence with four backticks: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````markdown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```python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print("hello")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```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````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tables"/>
    <w:p>
      <w:pPr>
        <w:pStyle w:val="Heading2"/>
      </w:pPr>
      <w:r>
        <w:t xml:space="preserve">Tables</w:t>
      </w:r>
    </w:p>
    <w:p>
      <w:pPr>
        <w:pStyle w:val="FirstParagraph"/>
      </w:pPr>
      <w:r>
        <w:t xml:space="preserve">Tables use pipes (</w:t>
      </w:r>
      <w:r>
        <w:rPr>
          <w:rFonts w:ascii="Cascadia Code" w:hAnsi="Cascadia Code" w:cs="Cascadia Code"/>
          <w:sz w:val="19"/>
          <w:szCs w:val="19"/>
          <w:shd w:val="clear" w:color="auto" w:fill="F0F0F0"/>
        </w:rPr>
        <w:t xml:space="preserve">|</w:t>
      </w:r>
      <w:r>
        <w:t xml:space="preserve">) and hyphens (</w:t>
      </w:r>
      <w:r>
        <w:rPr>
          <w:rFonts w:ascii="Cascadia Code" w:hAnsi="Cascadia Code" w:cs="Cascadia Code"/>
          <w:sz w:val="19"/>
          <w:szCs w:val="19"/>
          <w:shd w:val="clear" w:color="auto" w:fill="F0F0F0"/>
        </w:rPr>
        <w:t xml:space="preserve">-</w:t>
      </w:r>
      <w:r>
        <w:t xml:space="preserve">). The separator row controls column alignment.</w:t>
      </w:r>
    </w:p>
    <w:p>
      <w:pPr>
        <w:pStyle w:val="BodyText"/>
      </w:pPr>
      <w:r>
        <w:rPr>
          <w:b/>
          <w:bCs/>
        </w:rPr>
        <w:t xml:space="preserve">Syntax: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| Left-aligned | Center-aligned | Right-aligned |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|:-------------|:--------------:|--------------:|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| Cell 1       | Cell 2         |        Cell 3 |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| Cell 4       | Cell 5         |        Cell 6 |</w:t>
      </w:r>
    </w:p>
    <w:p>
      <w:pPr>
        <w:pStyle w:val="BodyText"/>
      </w:pPr>
      <w:r>
        <w:rPr>
          <w:b/>
          <w:bCs/>
        </w:rPr>
        <w:t xml:space="preserve">Renders 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Left-aligned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Center-aligned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Right-aligned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Cell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Cell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Cell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Cell 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Cell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Cell 6</w:t>
            </w:r>
          </w:p>
        </w:tc>
      </w:tr>
    </w:tbl>
    <w:p>
      <w:pPr>
        <w:pStyle w:val="BodyText"/>
      </w:pPr>
      <w:r>
        <w:rPr>
          <w:b/>
          <w:bCs/>
        </w:rPr>
        <w:t xml:space="preserve">Alignment syntax in the separator row:</w:t>
      </w:r>
      <w:r>
        <w:t xml:space="preserve"> </w:t>
      </w:r>
      <w:r>
        <w:t xml:space="preserve">-</w:t>
      </w:r>
      <w:r>
        <w:t xml:space="preserve"> </w:t>
      </w:r>
      <w:r>
        <w:rPr>
          <w:rFonts w:ascii="Cascadia Code" w:hAnsi="Cascadia Code" w:cs="Cascadia Code"/>
          <w:sz w:val="19"/>
          <w:szCs w:val="19"/>
          <w:shd w:val="clear" w:color="auto" w:fill="F0F0F0"/>
        </w:rPr>
        <w:t xml:space="preserve">:---</w:t>
      </w:r>
      <w:r>
        <w:t xml:space="preserve"> </w:t>
      </w:r>
      <w:r>
        <w:t xml:space="preserve">— left-aligned (default)</w:t>
      </w:r>
      <w:r>
        <w:t xml:space="preserve"> </w:t>
      </w:r>
      <w:r>
        <w:t xml:space="preserve">-</w:t>
      </w:r>
      <w:r>
        <w:t xml:space="preserve"> </w:t>
      </w:r>
      <w:r>
        <w:rPr>
          <w:rFonts w:ascii="Cascadia Code" w:hAnsi="Cascadia Code" w:cs="Cascadia Code"/>
          <w:sz w:val="19"/>
          <w:szCs w:val="19"/>
          <w:shd w:val="clear" w:color="auto" w:fill="F0F0F0"/>
        </w:rPr>
        <w:t xml:space="preserve">:---:</w:t>
      </w:r>
      <w:r>
        <w:t xml:space="preserve"> </w:t>
      </w:r>
      <w:r>
        <w:t xml:space="preserve">— center-aligned</w:t>
      </w:r>
      <w:r>
        <w:t xml:space="preserve"> </w:t>
      </w:r>
      <w:r>
        <w:t xml:space="preserve">-</w:t>
      </w:r>
      <w:r>
        <w:t xml:space="preserve"> </w:t>
      </w:r>
      <w:r>
        <w:rPr>
          <w:rFonts w:ascii="Cascadia Code" w:hAnsi="Cascadia Code" w:cs="Cascadia Code"/>
          <w:sz w:val="19"/>
          <w:szCs w:val="19"/>
          <w:shd w:val="clear" w:color="auto" w:fill="F0F0F0"/>
        </w:rPr>
        <w:t xml:space="preserve">---:</w:t>
      </w:r>
      <w:r>
        <w:t xml:space="preserve"> </w:t>
      </w:r>
      <w:r>
        <w:t xml:space="preserve">— right-aligned</w:t>
      </w:r>
    </w:p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- Columns don’t need to be visually aligned in the source — the pipes are what matter.</w:t>
      </w:r>
      <w:r>
        <w:t xml:space="preserve"> </w:t>
      </w:r>
      <w:r>
        <w:t xml:space="preserve">- You can use inline formatting inside cells:</w:t>
      </w:r>
      <w:r>
        <w:t xml:space="preserve"> </w:t>
      </w:r>
      <w:r>
        <w:rPr>
          <w:rFonts w:ascii="Cascadia Code" w:hAnsi="Cascadia Code" w:cs="Cascadia Code"/>
          <w:sz w:val="19"/>
          <w:szCs w:val="19"/>
          <w:shd w:val="clear" w:color="auto" w:fill="F0F0F0"/>
        </w:rPr>
        <w:t xml:space="preserve">**bold**</w:t>
      </w:r>
      <w:r>
        <w:t xml:space="preserve">,</w:t>
      </w:r>
      <w:r>
        <w:t xml:space="preserve"> </w:t>
      </w:r>
      <w:r>
        <w:rPr>
          <w:rFonts w:ascii="Cascadia Code" w:hAnsi="Cascadia Code" w:cs="Cascadia Code"/>
          <w:sz w:val="19"/>
          <w:szCs w:val="19"/>
          <w:shd w:val="clear" w:color="auto" w:fill="F0F0F0"/>
        </w:rPr>
        <w:t xml:space="preserve">*italic*</w:t>
      </w:r>
      <w:r>
        <w:t xml:space="preserve">,</w:t>
      </w:r>
      <w:r>
        <w:t xml:space="preserve"> </w:t>
      </w:r>
      <w:r>
        <w:rPr>
          <w:rFonts w:ascii="Cascadia Code" w:hAnsi="Cascadia Code" w:cs="Cascadia Code"/>
          <w:sz w:val="19"/>
          <w:szCs w:val="19"/>
          <w:shd w:val="clear" w:color="auto" w:fill="F0F0F0"/>
        </w:rPr>
        <w:t xml:space="preserve">`code`</w:t>
      </w:r>
      <w:r>
        <w:t xml:space="preserve">, links, etc.</w:t>
      </w:r>
      <w:r>
        <w:t xml:space="preserve"> </w:t>
      </w:r>
      <w:r>
        <w:t xml:space="preserve">- Tables cannot contain block-level elements (lists, code blocks, etc.).</w:t>
      </w:r>
    </w:p>
    <w:p>
      <w:r>
        <w:pict>
          <v:rect style="width:0;height:1.5pt" o:hralign="center" o:hrstd="t" o:hr="t"/>
        </w:pict>
      </w:r>
    </w:p>
    <w:bookmarkEnd w:id="29"/>
    <w:bookmarkStart w:id="30" w:name="horizontal-rules"/>
    <w:p>
      <w:pPr>
        <w:pStyle w:val="Heading2"/>
      </w:pPr>
      <w:r>
        <w:t xml:space="preserve">Horizontal Rules</w:t>
      </w:r>
    </w:p>
    <w:p>
      <w:pPr>
        <w:pStyle w:val="FirstParagraph"/>
      </w:pPr>
      <w:r>
        <w:t xml:space="preserve">Three or more hyphens, asterisks, or underscores on a line by themselves.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---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***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___</w:t>
      </w:r>
    </w:p>
    <w:p>
      <w:pPr>
        <w:pStyle w:val="BodyText"/>
      </w:pPr>
      <w:r>
        <w:t xml:space="preserve">All three produce the same result.</w:t>
      </w:r>
      <w:r>
        <w:t xml:space="preserve"> </w:t>
      </w:r>
      <w:r>
        <w:rPr>
          <w:rFonts w:ascii="Cascadia Code" w:hAnsi="Cascadia Code" w:cs="Cascadia Code"/>
          <w:sz w:val="19"/>
          <w:szCs w:val="19"/>
          <w:shd w:val="clear" w:color="auto" w:fill="F0F0F0"/>
        </w:rPr>
        <w:t xml:space="preserve">---</w:t>
      </w:r>
      <w:r>
        <w:t xml:space="preserve"> </w:t>
      </w:r>
      <w:r>
        <w:t xml:space="preserve">is the most common convention.</w:t>
      </w:r>
    </w:p>
    <w:p>
      <w:r>
        <w:pict>
          <v:rect style="width:0;height:1.5pt" o:hralign="center" o:hrstd="t" o:hr="t"/>
        </w:pict>
      </w:r>
    </w:p>
    <w:bookmarkEnd w:id="30"/>
    <w:bookmarkStart w:id="31" w:name="footnotes"/>
    <w:p>
      <w:pPr>
        <w:pStyle w:val="Heading2"/>
      </w:pPr>
      <w:r>
        <w:t xml:space="preserve">Footnotes</w:t>
      </w:r>
    </w:p>
    <w:p>
      <w:pPr>
        <w:pStyle w:val="FirstParagraph"/>
      </w:pPr>
      <w:r>
        <w:t xml:space="preserve">Define a footnote reference in the text and its content elsewhere in the document.</w:t>
      </w:r>
    </w:p>
    <w:p>
      <w:pPr>
        <w:pStyle w:val="BodyText"/>
      </w:pPr>
      <w:r>
        <w:rPr>
          <w:b/>
          <w:bCs/>
        </w:rPr>
        <w:t xml:space="preserve">Syntax: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This claim needs a source[^1].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 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Another reference[^note].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 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[^1]: Source details go here.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[^note]: You can use words as identifiers too.</w:t>
      </w:r>
    </w:p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- Footnote definitions can go anywhere in the document — they always render at the bottom.</w:t>
      </w:r>
      <w:r>
        <w:t xml:space="preserve"> </w:t>
      </w:r>
      <w:r>
        <w:t xml:space="preserve">- Supported in GFM, Obsidian, Jekyll, Hugo, and most modern renderers.</w:t>
      </w:r>
      <w:r>
        <w:t xml:space="preserve"> </w:t>
      </w:r>
      <w:r>
        <w:t xml:space="preserve">- Not supported in all basic Markdown parsers.</w:t>
      </w:r>
    </w:p>
    <w:p>
      <w:r>
        <w:pict>
          <v:rect style="width:0;height:1.5pt" o:hralign="center" o:hrstd="t" o:hr="t"/>
        </w:pict>
      </w:r>
    </w:p>
    <w:bookmarkEnd w:id="31"/>
    <w:bookmarkStart w:id="35" w:name="math-latex"/>
    <w:p>
      <w:pPr>
        <w:pStyle w:val="Heading2"/>
      </w:pPr>
      <w:r>
        <w:t xml:space="preserve">Math (LaTeX)</w:t>
      </w:r>
    </w:p>
    <w:p>
      <w:pPr>
        <w:pStyle w:val="FirstParagraph"/>
      </w:pPr>
      <w:r>
        <w:t xml:space="preserve">Render mathematical expressions using LaTeX syntax. Supported in GitHub, Obsidian, Jupyter, and many static site generators.</w:t>
      </w:r>
    </w:p>
    <w:bookmarkStart w:id="32" w:name="inline-math"/>
    <w:p>
      <w:pPr>
        <w:pStyle w:val="Heading3"/>
      </w:pPr>
      <w:r>
        <w:t xml:space="preserve">Inline Math</w:t>
      </w:r>
    </w:p>
    <w:p>
      <w:pPr>
        <w:pStyle w:val="FirstParagraph"/>
      </w:pPr>
      <w:r>
        <w:t xml:space="preserve">Wrap with single</w:t>
      </w:r>
      <w:r>
        <w:t xml:space="preserve"> </w:t>
      </w:r>
      <w:r>
        <w:rPr>
          <w:rFonts w:ascii="Cascadia Code" w:hAnsi="Cascadia Code" w:cs="Cascadia Code"/>
          <w:sz w:val="19"/>
          <w:szCs w:val="19"/>
          <w:shd w:val="clear" w:color="auto" w:fill="F0F0F0"/>
        </w:rPr>
        <w:t xml:space="preserve">$</w:t>
      </w:r>
      <w:r>
        <w:t xml:space="preserve">: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The energy equation is $E = mc^2$.</w:t>
      </w:r>
    </w:p>
    <w:p>
      <w:pPr>
        <w:pStyle w:val="BodyText"/>
      </w:pPr>
      <w:r>
        <w:t xml:space="preserve">The energy equation is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2"/>
    <w:bookmarkStart w:id="33" w:name="block-math"/>
    <w:p>
      <w:pPr>
        <w:pStyle w:val="Heading3"/>
      </w:pPr>
      <w:r>
        <w:t xml:space="preserve">Block Math</w:t>
      </w:r>
    </w:p>
    <w:p>
      <w:pPr>
        <w:pStyle w:val="FirstParagraph"/>
      </w:pPr>
      <w:r>
        <w:t xml:space="preserve">Wrap with double</w:t>
      </w:r>
      <w:r>
        <w:t xml:space="preserve"> </w:t>
      </w:r>
      <w:r>
        <w:rPr>
          <w:rFonts w:ascii="Cascadia Code" w:hAnsi="Cascadia Code" w:cs="Cascadia Code"/>
          <w:sz w:val="19"/>
          <w:szCs w:val="19"/>
          <w:shd w:val="clear" w:color="auto" w:fill="F0F0F0"/>
        </w:rPr>
        <w:t xml:space="preserve">$$</w:t>
      </w:r>
      <w:r>
        <w:t xml:space="preserve">: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$$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F = G \frac{m_1 m_2}{r^2}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$$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t>G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num>
            <m:den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3"/>
    <w:bookmarkStart w:id="34" w:name="common-latex-syntax"/>
    <w:p>
      <w:pPr>
        <w:pStyle w:val="Heading3"/>
      </w:pPr>
      <w:r>
        <w:t xml:space="preserve">Common LaTeX Syntax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89"/>
        <w:gridCol w:w="3054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What you want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scadia Code" w:hAnsi="Cascadia Code" w:cs="Cascadia Code"/>
                <w:sz w:val="19"/>
                <w:szCs w:val="19"/>
                <w:shd w:val="clear" w:color="auto" w:fill="F0F0F0"/>
              </w:rPr>
              <w:t xml:space="preserve">\frac{a}{b}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Subscript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scadia Code" w:hAnsi="Cascadia Code" w:cs="Cascadia Code"/>
                <w:sz w:val="19"/>
                <w:szCs w:val="19"/>
                <w:shd w:val="clear" w:color="auto" w:fill="F0F0F0"/>
              </w:rPr>
              <w:t xml:space="preserve">x_{i}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Superscript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scadia Code" w:hAnsi="Cascadia Code" w:cs="Cascadia Code"/>
                <w:sz w:val="19"/>
                <w:szCs w:val="19"/>
                <w:shd w:val="clear" w:color="auto" w:fill="F0F0F0"/>
              </w:rPr>
              <w:t xml:space="preserve">x^{2}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Square root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scadia Code" w:hAnsi="Cascadia Code" w:cs="Cascadia Code"/>
                <w:sz w:val="19"/>
                <w:szCs w:val="19"/>
                <w:shd w:val="clear" w:color="auto" w:fill="F0F0F0"/>
              </w:rPr>
              <w:t xml:space="preserve">\sqrt{x}</w:t>
            </w:r>
          </w:p>
        </w:tc>
        <w:tc>
          <w:tcPr/>
          <w:p>
            <w:pPr>
              <w:pStyle w:val="Compact"/>
              <w:jc w:val="left"/>
            </w:pPr>
            <m:oMath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scadia Code" w:hAnsi="Cascadia Code" w:cs="Cascadia Code"/>
                <w:sz w:val="19"/>
                <w:szCs w:val="19"/>
                <w:shd w:val="clear" w:color="auto" w:fill="F0F0F0"/>
              </w:rPr>
              <w:t xml:space="preserve">\sum_{i=1}^{n} x_i</w:t>
            </w:r>
          </w:p>
        </w:tc>
        <w:tc>
          <w:tcPr/>
          <w:p>
            <w:pPr>
              <w:pStyle w:val="Compact"/>
              <w:jc w:val="left"/>
            </w:pP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Greek letters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scadia Code" w:hAnsi="Cascadia Code" w:cs="Cascadia Code"/>
                <w:sz w:val="19"/>
                <w:szCs w:val="19"/>
                <w:shd w:val="clear" w:color="auto" w:fill="F0F0F0"/>
              </w:rPr>
              <w:t xml:space="preserve">\alpha, \beta, \Delta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Δ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Approximately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scadia Code" w:hAnsi="Cascadia Code" w:cs="Cascadia Code"/>
                <w:sz w:val="19"/>
                <w:szCs w:val="19"/>
                <w:shd w:val="clear" w:color="auto" w:fill="F0F0F0"/>
              </w:rPr>
              <w:t xml:space="preserve">\approx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Less/greater or equal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scadia Code" w:hAnsi="Cascadia Code" w:cs="Cascadia Code"/>
                <w:sz w:val="19"/>
                <w:szCs w:val="19"/>
                <w:shd w:val="clear" w:color="auto" w:fill="F0F0F0"/>
              </w:rPr>
              <w:t xml:space="preserve">\leq, \geq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≥</m:t>
              </m:r>
            </m:oMath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8" w:name="mermaid-diagrams"/>
    <w:p>
      <w:pPr>
        <w:pStyle w:val="Heading2"/>
      </w:pPr>
      <w:r>
        <w:t xml:space="preserve">Mermaid Diagrams</w:t>
      </w:r>
    </w:p>
    <w:p>
      <w:pPr>
        <w:pStyle w:val="FirstParagraph"/>
      </w:pPr>
      <w:r>
        <w:t xml:space="preserve">Mermaid is a diagramming language rendered from code blocks. Supported on GitHub, GitLab, Obsidian, and many documentation platforms.</w:t>
      </w:r>
    </w:p>
    <w:p>
      <w:pPr>
        <w:pStyle w:val="BodyText"/>
      </w:pPr>
      <w:r>
        <w:rPr>
          <w:b/>
          <w:bCs/>
        </w:rPr>
        <w:t xml:space="preserve">Syntax: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```mermaid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graph TD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    A[Start] --&gt; B{Decision}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    B --&gt;|Yes| C[Do something]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    B --&gt;|No| D[Do something else]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    C --&gt; E[End]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    D --&gt; E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```</w:t>
      </w:r>
    </w:p>
    <w:p>
      <w:pPr>
        <w:pStyle w:val="BodyText"/>
      </w:pPr>
      <w:r>
        <w:rPr>
          <w:b/>
          <w:bCs/>
        </w:rPr>
        <w:t xml:space="preserve">Renders as a flowchart: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graph TD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    A[Start] --&gt; B{Decision}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    B --&gt;|Yes| C[Do something]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    B --&gt;|No| D[Do something else]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    C --&gt; E[End]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    D --&gt; E</w:t>
      </w:r>
    </w:p>
    <w:bookmarkStart w:id="37" w:name="common-diagram-types"/>
    <w:p>
      <w:pPr>
        <w:pStyle w:val="Heading3"/>
      </w:pPr>
      <w:r>
        <w:t xml:space="preserve">Common Diagram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Flowchart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scadia Code" w:hAnsi="Cascadia Code" w:cs="Cascadia Code"/>
                <w:sz w:val="19"/>
                <w:szCs w:val="19"/>
                <w:shd w:val="clear" w:color="auto" w:fill="F0F0F0"/>
              </w:rPr>
              <w:t xml:space="preserve">graph 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flows, decisions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Sequence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scadia Code" w:hAnsi="Cascadia Code" w:cs="Cascadia Code"/>
                <w:sz w:val="19"/>
                <w:szCs w:val="19"/>
                <w:shd w:val="clear" w:color="auto" w:fill="F0F0F0"/>
              </w:rPr>
              <w:t xml:space="preserve">sequenceDiagram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calls, interactions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scadia Code" w:hAnsi="Cascadia Code" w:cs="Cascadia Code"/>
                <w:sz w:val="19"/>
                <w:szCs w:val="19"/>
                <w:shd w:val="clear" w:color="auto" w:fill="F0F0F0"/>
              </w:rPr>
              <w:t xml:space="preserve">classDiagram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OOP class relationships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Gantt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scadia Code" w:hAnsi="Cascadia Code" w:cs="Cascadia Code"/>
                <w:sz w:val="19"/>
                <w:szCs w:val="19"/>
                <w:shd w:val="clear" w:color="auto" w:fill="F0F0F0"/>
              </w:rPr>
              <w:t xml:space="preserve">gantt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timelines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scadia Code" w:hAnsi="Cascadia Code" w:cs="Cascadia Code"/>
                <w:sz w:val="19"/>
                <w:szCs w:val="19"/>
                <w:shd w:val="clear" w:color="auto" w:fill="F0F0F0"/>
              </w:rPr>
              <w:t xml:space="preserve">pie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Proportional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scadia Code" w:hAnsi="Cascadia Code" w:cs="Cascadia Code"/>
                <w:sz w:val="19"/>
                <w:szCs w:val="19"/>
                <w:shd w:val="clear" w:color="auto" w:fill="F0F0F0"/>
              </w:rPr>
              <w:t xml:space="preserve">stateDiagram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machines</w:t>
            </w:r>
          </w:p>
        </w:tc>
      </w:tr>
    </w:tbl>
    <w:p>
      <w:pPr>
        <w:pStyle w:val="BodyText"/>
      </w:pPr>
      <w:r>
        <w:rPr>
          <w:b/>
          <w:bCs/>
        </w:rPr>
        <w:t xml:space="preserve">Learn more:</w:t>
      </w:r>
      <w:r>
        <w:t xml:space="preserve"> </w:t>
      </w:r>
      <w:hyperlink r:id="rId36">
        <w:r>
          <w:rPr>
            <w:rStyle w:val="Hyperlink"/>
          </w:rPr>
          <w:t xml:space="preserve">mermaid.js.org</w:t>
        </w:r>
      </w:hyperlink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github-style-alerts"/>
    <w:p>
      <w:pPr>
        <w:pStyle w:val="Heading2"/>
      </w:pPr>
      <w:r>
        <w:t xml:space="preserve">GitHub-Style Alerts</w:t>
      </w:r>
    </w:p>
    <w:p>
      <w:pPr>
        <w:pStyle w:val="FirstParagraph"/>
      </w:pPr>
      <w:r>
        <w:t xml:space="preserve">A GFM extension for callout boxes. Use a special blockquote syntax.</w:t>
      </w:r>
    </w:p>
    <w:p>
      <w:pPr>
        <w:pStyle w:val="BodyText"/>
      </w:pPr>
      <w:r>
        <w:rPr>
          <w:b/>
          <w:bCs/>
        </w:rPr>
        <w:t xml:space="preserve">Syntax: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&gt; [!NOTE]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&gt; Useful information that users should know.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 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&gt; [!TIP]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&gt; Helpful advice for doing things better.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 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&gt; [!IMPORTANT]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&gt; Key information users need to know.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 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&gt; [!WARNING]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&gt; Urgent info that needs immediate attention.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 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&gt; [!CAUTION]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&gt; Advises about risks or negative outcomes.</w:t>
      </w:r>
    </w:p>
    <w:p>
      <w:pPr>
        <w:pStyle w:val="BodyText"/>
      </w:pPr>
      <w:r>
        <w:rPr>
          <w:b/>
          <w:bCs/>
        </w:rPr>
        <w:t xml:space="preserve">Renders as colored callout boxes on GitHub:</w:t>
      </w:r>
    </w:p>
    <w:p>
      <w:pPr>
        <w:pStyle w:val="BlockText"/>
      </w:pPr>
      <w:r>
        <w:t xml:space="preserve">[!NOTE]</w:t>
      </w:r>
      <w:r>
        <w:t xml:space="preserve"> </w:t>
      </w:r>
      <w:r>
        <w:t xml:space="preserve">Useful information that users should know.</w:t>
      </w:r>
    </w:p>
    <w:p>
      <w:pPr>
        <w:pStyle w:val="BlockText"/>
      </w:pPr>
      <w:r>
        <w:t xml:space="preserve">[!TIP]</w:t>
      </w:r>
      <w:r>
        <w:t xml:space="preserve"> </w:t>
      </w:r>
      <w:r>
        <w:t xml:space="preserve">Helpful advice for doing things better.</w:t>
      </w:r>
    </w:p>
    <w:p>
      <w:pPr>
        <w:pStyle w:val="BlockText"/>
      </w:pPr>
      <w:r>
        <w:t xml:space="preserve">[!IMPORTANT]</w:t>
      </w:r>
      <w:r>
        <w:t xml:space="preserve"> </w:t>
      </w:r>
      <w:r>
        <w:t xml:space="preserve">Key information users need to know.</w:t>
      </w:r>
    </w:p>
    <w:p>
      <w:pPr>
        <w:pStyle w:val="BlockText"/>
      </w:pPr>
      <w:r>
        <w:t xml:space="preserve">[!WARNING]</w:t>
      </w:r>
      <w:r>
        <w:t xml:space="preserve"> </w:t>
      </w:r>
      <w:r>
        <w:t xml:space="preserve">Urgent info that needs immediate attention.</w:t>
      </w:r>
    </w:p>
    <w:p>
      <w:pPr>
        <w:pStyle w:val="BlockText"/>
      </w:pPr>
      <w:r>
        <w:t xml:space="preserve">[!CAUTION]</w:t>
      </w:r>
      <w:r>
        <w:t xml:space="preserve"> </w:t>
      </w:r>
      <w:r>
        <w:t xml:space="preserve">Advises about risks or negative outcomes.</w:t>
      </w:r>
    </w:p>
    <w:p>
      <w:pPr>
        <w:pStyle w:val="FirstParagraph"/>
      </w:pPr>
      <w:r>
        <w:rPr>
          <w:b/>
          <w:bCs/>
        </w:rPr>
        <w:t xml:space="preserve">Notes:</w:t>
      </w:r>
      <w:r>
        <w:t xml:space="preserve"> </w:t>
      </w:r>
      <w:r>
        <w:t xml:space="preserve">- These are GitHub-specific. Obsidian uses a different callout syntax:</w:t>
      </w:r>
      <w:r>
        <w:t xml:space="preserve"> </w:t>
      </w:r>
      <w:r>
        <w:rPr>
          <w:rFonts w:ascii="Cascadia Code" w:hAnsi="Cascadia Code" w:cs="Cascadia Code"/>
          <w:sz w:val="19"/>
          <w:szCs w:val="19"/>
          <w:shd w:val="clear" w:color="auto" w:fill="F0F0F0"/>
        </w:rPr>
        <w:t xml:space="preserve">&gt; [!note]</w:t>
      </w:r>
      <w:r>
        <w:t xml:space="preserve"> </w:t>
      </w:r>
      <w:r>
        <w:t xml:space="preserve">(lowercase, with more types available).</w:t>
      </w:r>
      <w:r>
        <w:t xml:space="preserve"> </w:t>
      </w:r>
      <w:r>
        <w:t xml:space="preserve">- Other platforms may not render these — they’ll appear as regular blockquotes with the tag text visible.</w:t>
      </w:r>
    </w:p>
    <w:p>
      <w:r>
        <w:pict>
          <v:rect style="width:0;height:1.5pt" o:hralign="center" o:hrstd="t" o:hr="t"/>
        </w:pict>
      </w:r>
    </w:p>
    <w:bookmarkEnd w:id="39"/>
    <w:bookmarkStart w:id="40" w:name="collapsible-sections"/>
    <w:p>
      <w:pPr>
        <w:pStyle w:val="Heading2"/>
      </w:pPr>
      <w:r>
        <w:t xml:space="preserve">Collapsible Sections</w:t>
      </w:r>
    </w:p>
    <w:p>
      <w:pPr>
        <w:pStyle w:val="FirstParagraph"/>
      </w:pPr>
      <w:r>
        <w:t xml:space="preserve">Use HTML</w:t>
      </w:r>
      <w:r>
        <w:t xml:space="preserve"> </w:t>
      </w:r>
      <w:r>
        <w:rPr>
          <w:rFonts w:ascii="Cascadia Code" w:hAnsi="Cascadia Code" w:cs="Cascadia Code"/>
          <w:sz w:val="19"/>
          <w:szCs w:val="19"/>
          <w:shd w:val="clear" w:color="auto" w:fill="F0F0F0"/>
        </w:rPr>
        <w:t xml:space="preserve">&lt;details&gt;</w:t>
      </w:r>
      <w:r>
        <w:t xml:space="preserve"> </w:t>
      </w:r>
      <w:r>
        <w:t xml:space="preserve">and</w:t>
      </w:r>
      <w:r>
        <w:t xml:space="preserve"> </w:t>
      </w:r>
      <w:r>
        <w:rPr>
          <w:rFonts w:ascii="Cascadia Code" w:hAnsi="Cascadia Code" w:cs="Cascadia Code"/>
          <w:sz w:val="19"/>
          <w:szCs w:val="19"/>
          <w:shd w:val="clear" w:color="auto" w:fill="F0F0F0"/>
        </w:rPr>
        <w:t xml:space="preserve">&lt;summary&gt;</w:t>
      </w:r>
      <w:r>
        <w:t xml:space="preserve"> </w:t>
      </w:r>
      <w:r>
        <w:t xml:space="preserve">tags. Works on GitHub, GitLab, and most modern renderers.</w:t>
      </w:r>
    </w:p>
    <w:p>
      <w:pPr>
        <w:pStyle w:val="BodyText"/>
      </w:pPr>
      <w:r>
        <w:rPr>
          <w:b/>
          <w:bCs/>
        </w:rPr>
        <w:t xml:space="preserve">Syntax: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&lt;details&gt;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&lt;summary&gt;Click to expand&lt;/summary&gt;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 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Hidden content goes here. You can use **any Markdown** inside.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 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- List item one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- List item two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 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&lt;/details&gt;</w:t>
      </w:r>
    </w:p>
    <w:p>
      <w:pPr>
        <w:pStyle w:val="BodyText"/>
      </w:pPr>
      <w:r>
        <w:rPr>
          <w:b/>
          <w:bCs/>
        </w:rPr>
        <w:t xml:space="preserve">Renders as:</w:t>
      </w:r>
    </w:p>
    <w:p>
      <w:pPr>
        <w:pStyle w:val="BodyText"/>
      </w:pPr>
      <w:r>
        <w:t xml:space="preserve">Click to expand</w:t>
      </w:r>
    </w:p>
    <w:p>
      <w:pPr>
        <w:pStyle w:val="BodyText"/>
      </w:pPr>
      <w:r>
        <w:t xml:space="preserve">Hidden content goes here. You can use</w:t>
      </w:r>
      <w:r>
        <w:t xml:space="preserve"> </w:t>
      </w:r>
      <w:r>
        <w:rPr>
          <w:b/>
          <w:bCs/>
        </w:rPr>
        <w:t xml:space="preserve">any Markdown</w:t>
      </w:r>
      <w:r>
        <w:t xml:space="preserve"> </w:t>
      </w:r>
      <w:r>
        <w:t xml:space="preserve">inside.</w:t>
      </w:r>
    </w:p>
    <w:p>
      <w:pPr>
        <w:pStyle w:val="Compact"/>
        <w:numPr>
          <w:ilvl w:val="0"/>
          <w:numId w:val="1011"/>
        </w:numPr>
      </w:pPr>
      <w:r>
        <w:t xml:space="preserve">List item one</w:t>
      </w:r>
    </w:p>
    <w:p>
      <w:pPr>
        <w:pStyle w:val="Compact"/>
        <w:numPr>
          <w:ilvl w:val="0"/>
          <w:numId w:val="1011"/>
        </w:numPr>
      </w:pPr>
      <w:r>
        <w:t xml:space="preserve">List item two</w:t>
      </w:r>
    </w:p>
    <w:p>
      <w:pPr>
        <w:pStyle w:val="FirstParagraph"/>
      </w:pPr>
      <w:r>
        <w:rPr>
          <w:b/>
          <w:bCs/>
        </w:rPr>
        <w:t xml:space="preserve">Notes:</w:t>
      </w:r>
      <w:r>
        <w:t xml:space="preserve"> </w:t>
      </w:r>
      <w:r>
        <w:t xml:space="preserve">- Leave a blank line after</w:t>
      </w:r>
      <w:r>
        <w:t xml:space="preserve"> </w:t>
      </w:r>
      <w:r>
        <w:rPr>
          <w:rFonts w:ascii="Cascadia Code" w:hAnsi="Cascadia Code" w:cs="Cascadia Code"/>
          <w:sz w:val="19"/>
          <w:szCs w:val="19"/>
          <w:shd w:val="clear" w:color="auto" w:fill="F0F0F0"/>
        </w:rPr>
        <w:t xml:space="preserve">&lt;summary&gt;</w:t>
      </w:r>
      <w:r>
        <w:t xml:space="preserve"> </w:t>
      </w:r>
      <w:r>
        <w:t xml:space="preserve">for Markdown inside to render correctly.</w:t>
      </w:r>
      <w:r>
        <w:t xml:space="preserve"> </w:t>
      </w:r>
      <w:r>
        <w:t xml:space="preserve">- You can nest</w:t>
      </w:r>
      <w:r>
        <w:t xml:space="preserve"> </w:t>
      </w:r>
      <w:r>
        <w:rPr>
          <w:rFonts w:ascii="Cascadia Code" w:hAnsi="Cascadia Code" w:cs="Cascadia Code"/>
          <w:sz w:val="19"/>
          <w:szCs w:val="19"/>
          <w:shd w:val="clear" w:color="auto" w:fill="F0F0F0"/>
        </w:rPr>
        <w:t xml:space="preserve">&lt;details&gt;</w:t>
      </w:r>
      <w:r>
        <w:t xml:space="preserve"> </w:t>
      </w:r>
      <w:r>
        <w:t xml:space="preserve">blocks for multi-level collapsibles.</w:t>
      </w:r>
      <w:r>
        <w:t xml:space="preserve"> </w:t>
      </w:r>
      <w:r>
        <w:t xml:space="preserve">- Add the</w:t>
      </w:r>
      <w:r>
        <w:t xml:space="preserve"> </w:t>
      </w:r>
      <w:r>
        <w:rPr>
          <w:rFonts w:ascii="Cascadia Code" w:hAnsi="Cascadia Code" w:cs="Cascadia Code"/>
          <w:sz w:val="19"/>
          <w:szCs w:val="19"/>
          <w:shd w:val="clear" w:color="auto" w:fill="F0F0F0"/>
        </w:rPr>
        <w:t xml:space="preserve">open</w:t>
      </w:r>
      <w:r>
        <w:t xml:space="preserve"> </w:t>
      </w:r>
      <w:r>
        <w:t xml:space="preserve">attribute to have it expanded by default:</w:t>
      </w:r>
      <w:r>
        <w:t xml:space="preserve"> </w:t>
      </w:r>
      <w:r>
        <w:rPr>
          <w:rFonts w:ascii="Cascadia Code" w:hAnsi="Cascadia Code" w:cs="Cascadia Code"/>
          <w:sz w:val="19"/>
          <w:szCs w:val="19"/>
          <w:shd w:val="clear" w:color="auto" w:fill="F0F0F0"/>
        </w:rPr>
        <w:t xml:space="preserve">&lt;details open&gt;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definition-lists"/>
    <w:p>
      <w:pPr>
        <w:pStyle w:val="Heading2"/>
      </w:pPr>
      <w:r>
        <w:t xml:space="preserve">Definition Lists</w:t>
      </w:r>
    </w:p>
    <w:p>
      <w:pPr>
        <w:pStyle w:val="FirstParagraph"/>
      </w:pPr>
      <w:r>
        <w:t xml:space="preserve">Not part of standard Markdown, but supported via HTML in most renderers.</w:t>
      </w:r>
    </w:p>
    <w:p>
      <w:pPr>
        <w:pStyle w:val="BodyText"/>
      </w:pPr>
      <w:r>
        <w:rPr>
          <w:b/>
          <w:bCs/>
        </w:rPr>
        <w:t xml:space="preserve">HTML Syntax: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&lt;dl&gt;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  &lt;dt&gt;Term One&lt;/dt&gt;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  &lt;dd&gt;Definition of term one.&lt;/dd&gt;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 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  &lt;dt&gt;Term Two&lt;/dt&gt;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  &lt;dd&gt;Definition of term two.&lt;/dd&gt;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&lt;/dl&gt;</w:t>
      </w:r>
    </w:p>
    <w:p>
      <w:pPr>
        <w:pStyle w:val="BodyText"/>
      </w:pPr>
      <w:r>
        <w:rPr>
          <w:b/>
          <w:bCs/>
        </w:rPr>
        <w:t xml:space="preserve">Renders as:</w:t>
      </w:r>
    </w:p>
    <w:p>
      <w:pPr>
        <w:pStyle w:val="BodyText"/>
      </w:pPr>
      <w:r>
        <w:t xml:space="preserve">Term One</w:t>
      </w:r>
    </w:p>
    <w:p>
      <w:pPr>
        <w:pStyle w:val="BodyText"/>
      </w:pPr>
      <w:r>
        <w:t xml:space="preserve">Definition of term one.</w:t>
      </w:r>
    </w:p>
    <w:p>
      <w:pPr>
        <w:pStyle w:val="BodyText"/>
      </w:pPr>
      <w:r>
        <w:t xml:space="preserve">Term Two</w:t>
      </w:r>
    </w:p>
    <w:p>
      <w:pPr>
        <w:pStyle w:val="BodyText"/>
      </w:pPr>
      <w:r>
        <w:t xml:space="preserve">Definition of term two.</w:t>
      </w:r>
    </w:p>
    <w:p>
      <w:pPr>
        <w:pStyle w:val="BodyText"/>
      </w:pPr>
      <w:r>
        <w:t xml:space="preserve">Some extended Markdown parsers (PHP Markdown Extra, Pandoc, Obsidian) support a native syntax: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Term One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: Definition of term one.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 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Term Two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: Definition of term two.</w:t>
      </w:r>
    </w:p>
    <w:p>
      <w:pPr>
        <w:pStyle w:val="BodyText"/>
      </w:pPr>
      <w:r>
        <w:t xml:space="preserve">This native syntax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supported on GitHub.</w:t>
      </w:r>
    </w:p>
    <w:p>
      <w:r>
        <w:pict>
          <v:rect style="width:0;height:1.5pt" o:hralign="center" o:hrstd="t" o:hr="t"/>
        </w:pict>
      </w:r>
    </w:p>
    <w:bookmarkEnd w:id="41"/>
    <w:bookmarkStart w:id="45" w:name="emoji"/>
    <w:p>
      <w:pPr>
        <w:pStyle w:val="Heading2"/>
      </w:pPr>
      <w:r>
        <w:t xml:space="preserve">Emoji</w:t>
      </w:r>
    </w:p>
    <w:bookmarkStart w:id="42" w:name="unicode-emoji"/>
    <w:p>
      <w:pPr>
        <w:pStyle w:val="Heading3"/>
      </w:pPr>
      <w:r>
        <w:t xml:space="preserve">Unicode Emoji</w:t>
      </w:r>
    </w:p>
    <w:p>
      <w:pPr>
        <w:pStyle w:val="FirstParagraph"/>
      </w:pPr>
      <w:r>
        <w:t xml:space="preserve">Just paste emoji characters directly into your Markdown: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🚀 Launch day! 🌕 See you on the Moon.</w:t>
      </w:r>
    </w:p>
    <w:p>
      <w:pPr>
        <w:pStyle w:val="BodyText"/>
      </w:pPr>
      <w:r>
        <w:t xml:space="preserve">🚀 Launch day! 🌕 See you on the Moon.</w:t>
      </w:r>
    </w:p>
    <w:bookmarkEnd w:id="42"/>
    <w:bookmarkStart w:id="44" w:name="github-shortcodes"/>
    <w:p>
      <w:pPr>
        <w:pStyle w:val="Heading3"/>
      </w:pPr>
      <w:r>
        <w:t xml:space="preserve">GitHub Shortcodes</w:t>
      </w:r>
    </w:p>
    <w:p>
      <w:pPr>
        <w:pStyle w:val="FirstParagraph"/>
      </w:pPr>
      <w:r>
        <w:t xml:space="preserve">GitHub and some other platforms support colon-wrapped shortcodes: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:rocket: Launch day! :full_moon: See you on the Moon.</w:t>
      </w:r>
    </w:p>
    <w:p>
      <w:pPr>
        <w:pStyle w:val="BodyText"/>
      </w:pPr>
      <w:r>
        <w:t xml:space="preserve">:rocket: Launch day! :full_moon: See you on the Moon.</w:t>
      </w:r>
    </w:p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- Unicode emoji work everywhere. Shortcodes are platform-specific.</w:t>
      </w:r>
      <w:r>
        <w:t xml:space="preserve"> </w:t>
      </w:r>
      <w:r>
        <w:t xml:space="preserve">- Full shortcode list:</w:t>
      </w:r>
      <w:r>
        <w:t xml:space="preserve"> </w:t>
      </w:r>
      <w:hyperlink r:id="rId43">
        <w:r>
          <w:rPr>
            <w:rStyle w:val="Hyperlink"/>
          </w:rPr>
          <w:t xml:space="preserve">emoji-cheat-sheet.com</w:t>
        </w:r>
      </w:hyperlink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html-in-markdown"/>
    <w:p>
      <w:pPr>
        <w:pStyle w:val="Heading2"/>
      </w:pPr>
      <w:r>
        <w:t xml:space="preserve">HTML in Markdown</w:t>
      </w:r>
    </w:p>
    <w:p>
      <w:pPr>
        <w:pStyle w:val="FirstParagraph"/>
      </w:pPr>
      <w:r>
        <w:t xml:space="preserve">Most Markdown renderers allow inline HTML for features Markdown doesn’t natively support.</w:t>
      </w:r>
    </w:p>
    <w:bookmarkStart w:id="46" w:name="common-html-elements-in-markdown"/>
    <w:p>
      <w:pPr>
        <w:pStyle w:val="Heading3"/>
      </w:pPr>
      <w:r>
        <w:t xml:space="preserve">Common HTML Elements in Markdown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&lt;!-- Subscript and superscript --&gt;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H&lt;sub&gt;2&lt;/sub&gt;O is water. E = mc&lt;sup&gt;2&lt;/sup&gt;.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 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&lt;!-- Keyboard keys --&gt;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Press &lt;kbd&gt;Ctrl&lt;/kbd&gt; + &lt;kbd&gt;C&lt;/kbd&gt; to copy.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 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&lt;!-- Centered text --&gt;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&lt;div align="center"&gt;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  Centered content here.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&lt;/div&gt;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 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&lt;!-- Colored text (GitHub doesn't support this) --&gt;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&lt;span style="color: red;"&gt;Red text&lt;/span&gt;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 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&lt;!-- Line break --&gt;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Line one&lt;br&gt;Line two</w:t>
      </w:r>
    </w:p>
    <w:p>
      <w:pPr>
        <w:pStyle w:val="FirstParagraph"/>
      </w:pPr>
      <w:r>
        <w:rPr>
          <w:b/>
          <w:bCs/>
        </w:rPr>
        <w:t xml:space="preserve">Renders as:</w:t>
      </w:r>
    </w:p>
    <w:p>
      <w:pPr>
        <w:pStyle w:val="BodyText"/>
      </w:pPr>
      <w:r>
        <w:t xml:space="preserve">H</w:t>
      </w:r>
      <w:r>
        <w:t xml:space="preserve">2</w:t>
      </w:r>
      <w:r>
        <w:t xml:space="preserve">O is water. E = mc</w:t>
      </w:r>
      <w:r>
        <w:t xml:space="preserve">2</w:t>
      </w:r>
      <w:r>
        <w:t xml:space="preserve">.</w:t>
      </w:r>
    </w:p>
    <w:p>
      <w:pPr>
        <w:pStyle w:val="BodyText"/>
      </w:pPr>
      <w:r>
        <w:t xml:space="preserve">Press</w:t>
      </w:r>
      <w:r>
        <w:t xml:space="preserve"> </w:t>
      </w:r>
      <w:r>
        <w:t xml:space="preserve">Ctrl</w:t>
      </w:r>
      <w:r>
        <w:t xml:space="preserve"> </w:t>
      </w:r>
      <w:r>
        <w:t xml:space="preserve">+</w:t>
      </w:r>
      <w:r>
        <w:t xml:space="preserve"> </w:t>
      </w:r>
      <w:r>
        <w:t xml:space="preserve">C</w:t>
      </w:r>
      <w:r>
        <w:t xml:space="preserve"> </w:t>
      </w:r>
      <w:r>
        <w:t xml:space="preserve">to copy.</w:t>
      </w:r>
    </w:p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- GitHub strips</w:t>
      </w:r>
      <w:r>
        <w:t xml:space="preserve"> </w:t>
      </w:r>
      <w:r>
        <w:rPr>
          <w:rFonts w:ascii="Cascadia Code" w:hAnsi="Cascadia Code" w:cs="Cascadia Code"/>
          <w:sz w:val="19"/>
          <w:szCs w:val="19"/>
          <w:shd w:val="clear" w:color="auto" w:fill="F0F0F0"/>
        </w:rPr>
        <w:t xml:space="preserve">style</w:t>
      </w:r>
      <w:r>
        <w:t xml:space="preserve"> </w:t>
      </w:r>
      <w:r>
        <w:t xml:space="preserve">attributes for security, so inline CSS won’t work there.</w:t>
      </w:r>
      <w:r>
        <w:t xml:space="preserve"> </w:t>
      </w:r>
      <w:r>
        <w:t xml:space="preserve">-</w:t>
      </w:r>
      <w:r>
        <w:t xml:space="preserve"> </w:t>
      </w:r>
      <w:r>
        <w:rPr>
          <w:rFonts w:ascii="Cascadia Code" w:hAnsi="Cascadia Code" w:cs="Cascadia Code"/>
          <w:sz w:val="19"/>
          <w:szCs w:val="19"/>
          <w:shd w:val="clear" w:color="auto" w:fill="F0F0F0"/>
        </w:rPr>
        <w:t xml:space="preserve">&lt;sub&gt;</w:t>
      </w:r>
      <w:r>
        <w:t xml:space="preserve">,</w:t>
      </w:r>
      <w:r>
        <w:t xml:space="preserve"> </w:t>
      </w:r>
      <w:r>
        <w:rPr>
          <w:rFonts w:ascii="Cascadia Code" w:hAnsi="Cascadia Code" w:cs="Cascadia Code"/>
          <w:sz w:val="19"/>
          <w:szCs w:val="19"/>
          <w:shd w:val="clear" w:color="auto" w:fill="F0F0F0"/>
        </w:rPr>
        <w:t xml:space="preserve">&lt;sup&gt;</w:t>
      </w:r>
      <w:r>
        <w:t xml:space="preserve">,</w:t>
      </w:r>
      <w:r>
        <w:t xml:space="preserve"> </w:t>
      </w:r>
      <w:r>
        <w:rPr>
          <w:rFonts w:ascii="Cascadia Code" w:hAnsi="Cascadia Code" w:cs="Cascadia Code"/>
          <w:sz w:val="19"/>
          <w:szCs w:val="19"/>
          <w:shd w:val="clear" w:color="auto" w:fill="F0F0F0"/>
        </w:rPr>
        <w:t xml:space="preserve">&lt;kbd&gt;</w:t>
      </w:r>
      <w:r>
        <w:t xml:space="preserve">,</w:t>
      </w:r>
      <w:r>
        <w:t xml:space="preserve"> </w:t>
      </w:r>
      <w:r>
        <w:rPr>
          <w:rFonts w:ascii="Cascadia Code" w:hAnsi="Cascadia Code" w:cs="Cascadia Code"/>
          <w:sz w:val="19"/>
          <w:szCs w:val="19"/>
          <w:shd w:val="clear" w:color="auto" w:fill="F0F0F0"/>
        </w:rPr>
        <w:t xml:space="preserve">&lt;br&gt;</w:t>
      </w:r>
      <w:r>
        <w:t xml:space="preserve">,</w:t>
      </w:r>
      <w:r>
        <w:t xml:space="preserve"> </w:t>
      </w:r>
      <w:r>
        <w:rPr>
          <w:rFonts w:ascii="Cascadia Code" w:hAnsi="Cascadia Code" w:cs="Cascadia Code"/>
          <w:sz w:val="19"/>
          <w:szCs w:val="19"/>
          <w:shd w:val="clear" w:color="auto" w:fill="F0F0F0"/>
        </w:rPr>
        <w:t xml:space="preserve">&lt;details&gt;</w:t>
      </w:r>
      <w:r>
        <w:t xml:space="preserve">,</w:t>
      </w:r>
      <w:r>
        <w:t xml:space="preserve"> </w:t>
      </w:r>
      <w:r>
        <w:rPr>
          <w:rFonts w:ascii="Cascadia Code" w:hAnsi="Cascadia Code" w:cs="Cascadia Code"/>
          <w:sz w:val="19"/>
          <w:szCs w:val="19"/>
          <w:shd w:val="clear" w:color="auto" w:fill="F0F0F0"/>
        </w:rPr>
        <w:t xml:space="preserve">&lt;dl&gt;</w:t>
      </w:r>
      <w:r>
        <w:t xml:space="preserve"> </w:t>
      </w:r>
      <w:r>
        <w:t xml:space="preserve">all work on GitHub.</w:t>
      </w:r>
      <w:r>
        <w:t xml:space="preserve"> </w:t>
      </w:r>
      <w:r>
        <w:t xml:space="preserve">- When mixing HTML and Markdown, leave blank lines between HTML blocks and Markdown content.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comments"/>
    <w:p>
      <w:pPr>
        <w:pStyle w:val="Heading2"/>
      </w:pPr>
      <w:r>
        <w:t xml:space="preserve">Comments</w:t>
      </w:r>
    </w:p>
    <w:p>
      <w:pPr>
        <w:pStyle w:val="FirstParagraph"/>
      </w:pPr>
      <w:r>
        <w:t xml:space="preserve">HTML comments are invisible in rendered output. Useful for notes to yourself or other authors.</w:t>
      </w:r>
    </w:p>
    <w:p>
      <w:pPr>
        <w:pStyle w:val="BodyText"/>
      </w:pPr>
      <w:r>
        <w:rPr>
          <w:b/>
          <w:bCs/>
        </w:rPr>
        <w:t xml:space="preserve">Syntax: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&lt;!-- This text won't appear in the rendered document --&gt;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 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&lt;!-- 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  Multi-line comments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  work too.</w:t>
      </w:r>
    </w:p>
    <w:p>
      <w:pPr>
        <w:pStyle w:val="SourceCode"/>
        <w:shd w:val="clear" w:color="auto" w:fill="F6F6F6"/>
        <w:pBdr>
          <w:left w:val="single" w:sz="24" w:space="10" w:color="C8510A"/>
        </w:pBdr>
        <w:spacing w:before="0" w:after="0" w:line="280" w:lineRule="auto"/>
      </w:pPr>
      <w:r>
        <w:rPr>
          <w:rFonts w:ascii="Cascadia Code" w:hAnsi="Cascadia Code" w:cs="Cascadia Code"/>
          <w:sz w:val="19"/>
          <w:szCs w:val="19"/>
          <w:shd w:val="clear" w:color="auto" w:fill="F6F6F6"/>
        </w:rPr>
        <w:t xml:space="preserve">--&gt;</w:t>
      </w:r>
    </w:p>
    <w:p>
      <w:r>
        <w:pict>
          <v:rect style="width:0;height:1.5pt" o:hralign="center" o:hrstd="t" o:hr="t"/>
        </w:pict>
      </w:r>
    </w:p>
    <w:bookmarkEnd w:id="48"/>
    <w:bookmarkStart w:id="49" w:name="compatibility-notes"/>
    <w:p>
      <w:pPr>
        <w:pStyle w:val="Heading2"/>
      </w:pPr>
      <w:r>
        <w:t xml:space="preserve">Compatibility Notes</w:t>
      </w:r>
    </w:p>
    <w:p>
      <w:pPr>
        <w:pStyle w:val="FirstParagraph"/>
      </w:pPr>
      <w:r>
        <w:t xml:space="preserve">Not all features work everywhere. Here’s a quick compatibility matrix: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3"/>
        <w:gridCol w:w="1372"/>
        <w:gridCol w:w="1478"/>
        <w:gridCol w:w="1056"/>
        <w:gridCol w:w="844"/>
        <w:gridCol w:w="84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Standard MD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GitHub (GFM)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Obsidian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GitLab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Pandoc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Headings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Bold / Italic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Strikethrough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 Lists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Fenced Code Blocks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Footnotes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Math (LaTeX)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Mermaid Diagrams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Alerts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Collapsible Sections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Definition Lists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via HTML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Emoji Shortcodes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</w:tbl>
    <w:p>
      <w:pPr>
        <w:pStyle w:val="BodyText"/>
      </w:pPr>
      <w:r>
        <w:t xml:space="preserve">* Obsidian uses its own callout syntax:</w:t>
      </w:r>
      <w:r>
        <w:t xml:space="preserve"> </w:t>
      </w:r>
      <w:r>
        <w:rPr>
          <w:rFonts w:ascii="Cascadia Code" w:hAnsi="Cascadia Code" w:cs="Cascadia Code"/>
          <w:sz w:val="19"/>
          <w:szCs w:val="19"/>
          <w:shd w:val="clear" w:color="auto" w:fill="F0F0F0"/>
        </w:rPr>
        <w:t xml:space="preserve">&gt; [!note]</w:t>
      </w:r>
      <w:r>
        <w:t xml:space="preserve">,</w:t>
      </w:r>
      <w:r>
        <w:t xml:space="preserve"> </w:t>
      </w:r>
      <w:r>
        <w:rPr>
          <w:rFonts w:ascii="Cascadia Code" w:hAnsi="Cascadia Code" w:cs="Cascadia Code"/>
          <w:sz w:val="19"/>
          <w:szCs w:val="19"/>
          <w:shd w:val="clear" w:color="auto" w:fill="F0F0F0"/>
        </w:rPr>
        <w:t xml:space="preserve">&gt; [!warning]</w:t>
      </w:r>
      <w:r>
        <w:t xml:space="preserve">, etc.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Created as a companion to</w:t>
      </w:r>
      <w:r>
        <w:t xml:space="preserve"> </w:t>
      </w:r>
      <w:r>
        <w:t xml:space="preserve">artemis-program.md</w:t>
      </w:r>
      <w:r>
        <w:t xml:space="preserve"> </w:t>
      </w:r>
      <w:r>
        <w:t xml:space="preserve">· April 2026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360" w:hanging="360"/>
      </w:pPr>
    </w:lvl>
    <w:lvl w:ilvl="1">
      <w:numFmt w:val="bullet"/>
      <w:lvlText w:val=" "/>
      <w:lvlJc w:val="left"/>
      <w:pPr>
        <w:ind w:left="600" w:hanging="360"/>
      </w:pPr>
    </w:lvl>
    <w:lvl w:ilvl="2">
      <w:numFmt w:val="bullet"/>
      <w:lvlText w:val=" "/>
      <w:lvlJc w:val="left"/>
      <w:pPr>
        <w:ind w:left="840" w:hanging="360"/>
      </w:pPr>
    </w:lvl>
    <w:lvl w:ilvl="3">
      <w:numFmt w:val="bullet"/>
      <w:lvlText w:val=" "/>
      <w:lvlJc w:val="left"/>
      <w:pPr>
        <w:ind w:left="1080" w:hanging="360"/>
      </w:pPr>
    </w:lvl>
    <w:lvl w:ilvl="4">
      <w:numFmt w:val="bullet"/>
      <w:lvlText w:val=" "/>
      <w:lvlJc w:val="left"/>
      <w:pPr>
        <w:ind w:left="1320" w:hanging="360"/>
      </w:pPr>
    </w:lvl>
    <w:lvl w:ilvl="5">
      <w:numFmt w:val="bullet"/>
      <w:lvlText w:val=" "/>
      <w:lvlJc w:val="left"/>
      <w:pPr>
        <w:ind w:left="1560" w:hanging="360"/>
      </w:pPr>
    </w:lvl>
    <w:lvl w:ilvl="6">
      <w:numFmt w:val="bullet"/>
      <w:lvlText w:val=" "/>
      <w:lvlJc w:val="left"/>
      <w:pPr>
        <w:ind w:left="1800" w:hanging="360"/>
      </w:pPr>
    </w:lvl>
    <w:lvl w:ilvl="7">
      <w:numFmt w:val="bullet"/>
      <w:lvlText w:val=" "/>
      <w:lvlJc w:val="left"/>
      <w:pPr>
        <w:ind w:left="2040" w:hanging="360"/>
      </w:pPr>
    </w:lvl>
    <w:lvl w:ilvl="8">
      <w:numFmt w:val="bullet"/>
      <w:lvlText w:val=" "/>
      <w:lvlJc w:val="left"/>
      <w:pPr>
        <w:ind w:left="22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60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84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156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22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600" w:hanging="360"/>
      </w:pPr>
    </w:lvl>
    <w:lvl w:ilvl="2">
      <w:start w:val="1"/>
      <w:numFmt w:val="decimal"/>
      <w:lvlText w:val="%3."/>
      <w:lvlJc w:val="left"/>
      <w:pPr>
        <w:ind w:left="840" w:hanging="360"/>
      </w:pPr>
    </w:lvl>
    <w:lvl w:ilvl="3">
      <w:start w:val="1"/>
      <w:numFmt w:val="decimal"/>
      <w:lvlText w:val="%4."/>
      <w:lvlJc w:val="left"/>
      <w:pPr>
        <w:ind w:left="1080" w:hanging="360"/>
      </w:pPr>
    </w:lvl>
    <w:lvl w:ilvl="4">
      <w:start w:val="1"/>
      <w:numFmt w:val="decimal"/>
      <w:lvlText w:val="%5."/>
      <w:lvlJc w:val="left"/>
      <w:pPr>
        <w:ind w:left="1320" w:hanging="360"/>
      </w:pPr>
    </w:lvl>
    <w:lvl w:ilvl="5">
      <w:start w:val="1"/>
      <w:numFmt w:val="decimal"/>
      <w:lvlText w:val="%6."/>
      <w:lvlJc w:val="left"/>
      <w:pPr>
        <w:ind w:left="1560" w:hanging="360"/>
      </w:pPr>
    </w:lvl>
    <w:lvl w:ilvl="6">
      <w:start w:val="1"/>
      <w:numFmt w:val="decimal"/>
      <w:lvlText w:val="%7."/>
      <w:lvlJc w:val="left"/>
      <w:pPr>
        <w:ind w:left="1800" w:hanging="360"/>
      </w:pPr>
    </w:lvl>
    <w:lvl w:ilvl="7">
      <w:start w:val="1"/>
      <w:numFmt w:val="decimal"/>
      <w:lvlText w:val="%8."/>
      <w:lvlJc w:val="left"/>
      <w:pPr>
        <w:ind w:left="2040" w:hanging="360"/>
      </w:pPr>
    </w:lvl>
    <w:lvl w:ilvl="8">
      <w:start w:val="1"/>
      <w:numFmt w:val="decimal"/>
      <w:lvlText w:val="%9."/>
      <w:lvlJc w:val="left"/>
      <w:pPr>
        <w:ind w:left="22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360" w:hanging="360"/>
      </w:pPr>
    </w:lvl>
    <w:lvl w:ilvl="1">
      <w:numFmt w:val="bullet"/>
      <w:lvlText w:val="☒"/>
      <w:lvlJc w:val="left"/>
      <w:pPr>
        <w:ind w:left="600" w:hanging="360"/>
      </w:pPr>
    </w:lvl>
    <w:lvl w:ilvl="2">
      <w:numFmt w:val="bullet"/>
      <w:lvlText w:val="☒"/>
      <w:lvlJc w:val="left"/>
      <w:pPr>
        <w:ind w:left="840" w:hanging="360"/>
      </w:pPr>
    </w:lvl>
    <w:lvl w:ilvl="3">
      <w:numFmt w:val="bullet"/>
      <w:lvlText w:val="☒"/>
      <w:lvlJc w:val="left"/>
      <w:pPr>
        <w:ind w:left="1080" w:hanging="360"/>
      </w:pPr>
    </w:lvl>
    <w:lvl w:ilvl="4">
      <w:numFmt w:val="bullet"/>
      <w:lvlText w:val="☒"/>
      <w:lvlJc w:val="left"/>
      <w:pPr>
        <w:ind w:left="1320" w:hanging="360"/>
      </w:pPr>
    </w:lvl>
    <w:lvl w:ilvl="5">
      <w:numFmt w:val="bullet"/>
      <w:lvlText w:val="☒"/>
      <w:lvlJc w:val="left"/>
      <w:pPr>
        <w:ind w:left="1560" w:hanging="360"/>
      </w:pPr>
    </w:lvl>
    <w:lvl w:ilvl="6">
      <w:numFmt w:val="bullet"/>
      <w:lvlText w:val="☒"/>
      <w:lvlJc w:val="left"/>
      <w:pPr>
        <w:ind w:left="1800" w:hanging="360"/>
      </w:pPr>
    </w:lvl>
    <w:lvl w:ilvl="7">
      <w:numFmt w:val="bullet"/>
      <w:lvlText w:val="☒"/>
      <w:lvlJc w:val="left"/>
      <w:pPr>
        <w:ind w:left="2040" w:hanging="360"/>
      </w:pPr>
    </w:lvl>
    <w:lvl w:ilvl="8">
      <w:numFmt w:val="bullet"/>
      <w:lvlText w:val="☒"/>
      <w:lvlJc w:val="left"/>
      <w:pPr>
        <w:ind w:left="22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360" w:hanging="360"/>
      </w:pPr>
    </w:lvl>
    <w:lvl w:ilvl="1">
      <w:numFmt w:val="bullet"/>
      <w:lvlText w:val="☐"/>
      <w:lvlJc w:val="left"/>
      <w:pPr>
        <w:ind w:left="600" w:hanging="360"/>
      </w:pPr>
    </w:lvl>
    <w:lvl w:ilvl="2">
      <w:numFmt w:val="bullet"/>
      <w:lvlText w:val="☐"/>
      <w:lvlJc w:val="left"/>
      <w:pPr>
        <w:ind w:left="840" w:hanging="360"/>
      </w:pPr>
    </w:lvl>
    <w:lvl w:ilvl="3">
      <w:numFmt w:val="bullet"/>
      <w:lvlText w:val="☐"/>
      <w:lvlJc w:val="left"/>
      <w:pPr>
        <w:ind w:left="1080" w:hanging="360"/>
      </w:pPr>
    </w:lvl>
    <w:lvl w:ilvl="4">
      <w:numFmt w:val="bullet"/>
      <w:lvlText w:val="☐"/>
      <w:lvlJc w:val="left"/>
      <w:pPr>
        <w:ind w:left="1320" w:hanging="360"/>
      </w:pPr>
    </w:lvl>
    <w:lvl w:ilvl="5">
      <w:numFmt w:val="bullet"/>
      <w:lvlText w:val="☐"/>
      <w:lvlJc w:val="left"/>
      <w:pPr>
        <w:ind w:left="1560" w:hanging="360"/>
      </w:pPr>
    </w:lvl>
    <w:lvl w:ilvl="6">
      <w:numFmt w:val="bullet"/>
      <w:lvlText w:val="☐"/>
      <w:lvlJc w:val="left"/>
      <w:pPr>
        <w:ind w:left="1800" w:hanging="360"/>
      </w:pPr>
    </w:lvl>
    <w:lvl w:ilvl="7">
      <w:numFmt w:val="bullet"/>
      <w:lvlText w:val="☐"/>
      <w:lvlJc w:val="left"/>
      <w:pPr>
        <w:ind w:left="2040" w:hanging="360"/>
      </w:pPr>
    </w:lvl>
    <w:lvl w:ilvl="8">
      <w:numFmt w:val="bullet"/>
      <w:lvlText w:val="☐"/>
      <w:lvlJc w:val="left"/>
      <w:pPr>
        <w:ind w:left="22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3"/>
  </w:num>
  <w:num w:numId="1009">
    <w:abstractNumId w:val="992"/>
  </w:num>
  <w:num w:numId="1010">
    <w:abstractNumId w:val="992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88" w:lineRule="auto"/>
    </w:pPr>
    <w:rPr>
      <w:rFonts w:ascii="Sitka Text" w:hAnsi="Sitka Text"/>
      <w:color w:val="2D2D2D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Sitka Text" w:hAnsi="Sitka Text"/>
      <w:color w:val="2D2D2D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Sitka Text" w:hAnsi="Sitka Text"/>
      <w:color w:val="2D2D2D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Sitka Text" w:hAnsi="Sitka Text"/>
      <w:color w:val="2D2D2D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Sitka Text" w:asciiTheme="majorHAnsi" w:cstheme="majorBidi" w:eastAsiaTheme="majorEastAsia" w:hAnsi="Sitka Text" w:hAnsiTheme="majorHAnsi"/>
      <w:b/>
      <w:color w:val="1A1A1A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320"/>
    </w:pPr>
    <w:rPr>
      <w:rFonts w:ascii="Sitka Text" w:cstheme="majorBidi" w:eastAsiaTheme="majorEastAsia" w:hAnsi="Sitka Text"/>
      <w:b w:val="0"/>
      <w:i w:val="0"/>
      <w:color w:val="555555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00" w:before="560" w:line="276" w:lineRule="auto"/>
      <w:outlineLvl w:val="0"/>
      <w:pBdr>
        <w:bottom w:color="E0E0E0" w:space="6" w:sz="4" w:val="single"/>
      </w:pBdr>
    </w:pPr>
    <w:rPr>
      <w:rFonts w:ascii="Sitka Text" w:asciiTheme="majorHAnsi" w:cstheme="majorBidi" w:eastAsiaTheme="majorEastAsia" w:hAnsi="Sitka Text" w:hAnsiTheme="majorHAnsi"/>
      <w:b/>
      <w:i w:val="0"/>
      <w:color w:val="1A1A1A"/>
      <w:sz w:val="4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60" w:before="480" w:line="276" w:lineRule="auto"/>
      <w:outlineLvl w:val="1"/>
      <w:pBdr>
        <w:bottom w:color="E0E0E0" w:space="6" w:sz="4" w:val="single"/>
      </w:pBdr>
    </w:pPr>
    <w:rPr>
      <w:rFonts w:ascii="Sitka Text" w:asciiTheme="majorHAnsi" w:cstheme="majorBidi" w:eastAsiaTheme="majorEastAsia" w:hAnsi="Sitka Text" w:hAnsiTheme="majorHAnsi"/>
      <w:b/>
      <w:i w:val="0"/>
      <w:color w:val="1A1A1A"/>
      <w:sz w:val="3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360" w:line="276" w:lineRule="auto"/>
      <w:outlineLvl w:val="2"/>
    </w:pPr>
    <w:rPr>
      <w:rFonts w:ascii="Sitka Text" w:cstheme="majorBidi" w:eastAsiaTheme="majorEastAsia" w:hAnsi="Sitka Text"/>
      <w:b/>
      <w:i w:val="0"/>
      <w:color w:val="1A1A1A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280" w:line="276" w:lineRule="auto"/>
      <w:outlineLvl w:val="3"/>
    </w:pPr>
    <w:rPr>
      <w:rFonts w:ascii="Sitka Text" w:cstheme="majorBidi" w:eastAsiaTheme="majorEastAsia" w:hAnsi="Sitka Text"/>
      <w:b/>
      <w:i w:val="0"/>
      <w:iCs/>
      <w:color w:val="1A1A1A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80" w:before="240" w:line="276" w:lineRule="auto"/>
      <w:outlineLvl w:val="4"/>
    </w:pPr>
    <w:rPr>
      <w:rFonts w:ascii="Sitka Text" w:cstheme="majorBidi" w:eastAsiaTheme="majorEastAsia" w:hAnsi="Sitka Text"/>
      <w:b/>
      <w:i w:val="0"/>
      <w:color w:val="555555"/>
      <w:sz w:val="2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80" w:before="240" w:line="276" w:lineRule="auto"/>
      <w:outlineLvl w:val="5"/>
    </w:pPr>
    <w:rPr>
      <w:rFonts w:ascii="Sitka Text" w:cstheme="majorBidi" w:eastAsiaTheme="majorEastAsia" w:hAnsi="Sitka Text"/>
      <w:b/>
      <w:i w:val="0"/>
      <w:iCs/>
      <w:color w:val="555555"/>
      <w:sz w:val="21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60"/>
      <w:ind w:firstLine="0" w:left="567" w:right="283"/>
      <w:shd w:color="auto" w:fill="F9F9F9" w:val="clear"/>
      <w:pBdr>
        <w:left w:color="4A4A4A" w:space="10" w:sz="18" w:val="single"/>
      </w:pBdr>
    </w:pPr>
    <w:rPr>
      <w:rFonts w:ascii="Sitka Text" w:hAnsi="Sitka Text"/>
      <w:i w:val="0"/>
      <w:color w:val="2D2D2D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Sitka Text" w:hAnsi="Sitka Text"/>
      <w:sz w:val="2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ascadia Code" w:hAnsi="Cascadia Code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2A7A8C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https://example.com" TargetMode="External" /><Relationship Type="http://schemas.openxmlformats.org/officeDocument/2006/relationships/hyperlink" Id="rId36" Target="https://mermaid.js.org/" TargetMode="External" /><Relationship Type="http://schemas.openxmlformats.org/officeDocument/2006/relationships/hyperlink" Id="rId43" Target="https://www.webfx.com/tools/emoji-cheat-shee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example.com" TargetMode="External" /><Relationship Type="http://schemas.openxmlformats.org/officeDocument/2006/relationships/hyperlink" Id="rId36" Target="https://mermaid.js.org/" TargetMode="External" /><Relationship Type="http://schemas.openxmlformats.org/officeDocument/2006/relationships/hyperlink" Id="rId43" Target="https://www.webfx.com/tools/emoji-cheat-shee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2026-04-15T21:58:42Z</dcterms:created>
  <dcterms:modified xsi:type="dcterms:W3CDTF">2026-04-15T21:58:42Z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