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884" w:rsidRDefault="00236B6D" w:rsidP="00A76884">
      <w:pPr>
        <w:jc w:val="center"/>
        <w:rPr>
          <w:rFonts w:ascii="Times New Roman" w:hAnsi="Times New Roman" w:cs="Times New Roman"/>
          <w:b/>
          <w:bCs/>
          <w:u w:val="single"/>
        </w:rPr>
      </w:pPr>
      <w:r>
        <w:rPr>
          <w:rFonts w:ascii="Times New Roman" w:hAnsi="Times New Roman" w:cs="Times New Roman"/>
          <w:b/>
          <w:bCs/>
          <w:sz w:val="40"/>
          <w:szCs w:val="56"/>
          <w:u w:val="single"/>
        </w:rPr>
        <w:t xml:space="preserve"> </w:t>
      </w:r>
      <w:r w:rsidR="00A76884" w:rsidRPr="00A76884">
        <w:rPr>
          <w:rFonts w:ascii="Times New Roman" w:hAnsi="Times New Roman" w:cs="Times New Roman"/>
          <w:b/>
          <w:bCs/>
          <w:sz w:val="40"/>
          <w:szCs w:val="56"/>
          <w:u w:val="single"/>
        </w:rPr>
        <w:t>Assignment</w:t>
      </w:r>
      <w:r w:rsidR="0012254A">
        <w:rPr>
          <w:rFonts w:ascii="Times New Roman" w:hAnsi="Times New Roman" w:cs="Times New Roman"/>
          <w:b/>
          <w:bCs/>
          <w:sz w:val="40"/>
          <w:szCs w:val="56"/>
          <w:u w:val="single"/>
        </w:rPr>
        <w:t xml:space="preserve"> 01</w:t>
      </w:r>
      <w:r w:rsidR="00A76884" w:rsidRPr="00A76884">
        <w:rPr>
          <w:rFonts w:ascii="Times New Roman" w:hAnsi="Times New Roman" w:cs="Times New Roman"/>
          <w:b/>
          <w:bCs/>
          <w:u w:val="single"/>
        </w:rPr>
        <w:t xml:space="preserve"> </w:t>
      </w:r>
    </w:p>
    <w:p w:rsidR="00236B6D" w:rsidRPr="00236B6D" w:rsidRDefault="00A76884" w:rsidP="00236B6D">
      <w:pPr>
        <w:pStyle w:val="ListParagraph"/>
        <w:numPr>
          <w:ilvl w:val="0"/>
          <w:numId w:val="1"/>
        </w:numPr>
        <w:ind w:left="360" w:hanging="450"/>
        <w:jc w:val="both"/>
        <w:rPr>
          <w:rFonts w:ascii="Times New Roman" w:hAnsi="Times New Roman" w:cs="Times New Roman"/>
          <w:b/>
          <w:bCs/>
          <w:u w:val="single"/>
        </w:rPr>
      </w:pPr>
      <w:r>
        <w:rPr>
          <w:rFonts w:ascii="Times New Roman" w:hAnsi="Times New Roman" w:cs="Times New Roman"/>
        </w:rPr>
        <w:t xml:space="preserve">With the price of gas continuing to rise you wish to look at the car that get better gas mileage. You narrow down your choice to following 2012 models: </w:t>
      </w:r>
      <w:r w:rsidRPr="00A76884">
        <w:rPr>
          <w:rFonts w:ascii="Times New Roman" w:hAnsi="Times New Roman" w:cs="Times New Roman"/>
        </w:rPr>
        <w:t>Ford Fiesta, Ford Focus, Chevy Volt, Chevy Cruz, Toyota Camry, Toyota Camry Hybrid, Toyota Prius and Toyota Corolla. Each company has offered you their ‘‘best deal” as listed in the following table. You are able to allocate approximately $500 for a car payment each month up to 60 months, although less time would be preferable. Use dynamical systems to determine which new car you can afford.</w:t>
      </w:r>
    </w:p>
    <w:tbl>
      <w:tblPr>
        <w:tblStyle w:val="TableGrid"/>
        <w:tblW w:w="5000" w:type="pct"/>
        <w:tblLook w:val="04A0" w:firstRow="1" w:lastRow="0" w:firstColumn="1" w:lastColumn="0" w:noHBand="0" w:noVBand="1"/>
      </w:tblPr>
      <w:tblGrid>
        <w:gridCol w:w="2594"/>
        <w:gridCol w:w="2594"/>
        <w:gridCol w:w="2098"/>
        <w:gridCol w:w="3170"/>
      </w:tblGrid>
      <w:tr w:rsidR="00A76884" w:rsidTr="0012254A">
        <w:tc>
          <w:tcPr>
            <w:tcW w:w="1240" w:type="pct"/>
            <w:vAlign w:val="center"/>
          </w:tcPr>
          <w:p w:rsidR="00A76884" w:rsidRPr="00A11EB6" w:rsidRDefault="00A11EB6" w:rsidP="00A11EB6">
            <w:pPr>
              <w:jc w:val="center"/>
              <w:rPr>
                <w:rFonts w:ascii="Times New Roman" w:hAnsi="Times New Roman" w:cs="Times New Roman"/>
                <w:b/>
                <w:bCs/>
              </w:rPr>
            </w:pPr>
            <w:r w:rsidRPr="00A11EB6">
              <w:rPr>
                <w:rFonts w:ascii="Times New Roman" w:hAnsi="Times New Roman" w:cs="Times New Roman"/>
                <w:b/>
                <w:bCs/>
              </w:rPr>
              <w:t>2012 Models</w:t>
            </w:r>
          </w:p>
        </w:tc>
        <w:tc>
          <w:tcPr>
            <w:tcW w:w="1240" w:type="pct"/>
            <w:vAlign w:val="center"/>
          </w:tcPr>
          <w:p w:rsidR="00A76884" w:rsidRPr="00A11EB6" w:rsidRDefault="00A11EB6" w:rsidP="00A11EB6">
            <w:pPr>
              <w:jc w:val="center"/>
              <w:rPr>
                <w:rFonts w:ascii="Times New Roman" w:hAnsi="Times New Roman" w:cs="Times New Roman"/>
                <w:b/>
                <w:bCs/>
              </w:rPr>
            </w:pPr>
            <w:r>
              <w:rPr>
                <w:rFonts w:ascii="Times New Roman" w:hAnsi="Times New Roman" w:cs="Times New Roman"/>
                <w:b/>
                <w:bCs/>
              </w:rPr>
              <w:t xml:space="preserve">Best Deal Price </w:t>
            </w:r>
          </w:p>
        </w:tc>
        <w:tc>
          <w:tcPr>
            <w:tcW w:w="1003" w:type="pct"/>
            <w:vAlign w:val="center"/>
          </w:tcPr>
          <w:p w:rsidR="00A76884" w:rsidRPr="00A11EB6" w:rsidRDefault="00A11EB6" w:rsidP="00A11EB6">
            <w:pPr>
              <w:jc w:val="center"/>
              <w:rPr>
                <w:rFonts w:ascii="Times New Roman" w:hAnsi="Times New Roman" w:cs="Times New Roman"/>
                <w:b/>
                <w:bCs/>
              </w:rPr>
            </w:pPr>
            <w:r>
              <w:rPr>
                <w:rFonts w:ascii="Times New Roman" w:hAnsi="Times New Roman" w:cs="Times New Roman"/>
                <w:b/>
                <w:bCs/>
              </w:rPr>
              <w:t>Cash Down</w:t>
            </w:r>
          </w:p>
        </w:tc>
        <w:tc>
          <w:tcPr>
            <w:tcW w:w="1516" w:type="pct"/>
            <w:vAlign w:val="center"/>
          </w:tcPr>
          <w:p w:rsidR="00A76884" w:rsidRPr="00A11EB6" w:rsidRDefault="00A11EB6" w:rsidP="00A11EB6">
            <w:pPr>
              <w:jc w:val="center"/>
              <w:rPr>
                <w:rFonts w:ascii="Times New Roman" w:hAnsi="Times New Roman" w:cs="Times New Roman"/>
                <w:b/>
                <w:bCs/>
              </w:rPr>
            </w:pPr>
            <w:r>
              <w:rPr>
                <w:rFonts w:ascii="Times New Roman" w:hAnsi="Times New Roman" w:cs="Times New Roman"/>
                <w:b/>
                <w:bCs/>
              </w:rPr>
              <w:t>Interest and Duration</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 xml:space="preserve">Ford Fiesta </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$14,200</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$500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4.5% APR for 60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Ford Focus</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$20,705</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$750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4.38% APR for 60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Chevy Volt</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$39,312</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$1,000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3.28% APR for 48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Chevy Cruz</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$16,800</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$500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4.4% APR for 60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Toyota Camry</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$22,955</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4.8% APR for 60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Toyota Camry Hybrid</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$26,500</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3% APR for 48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 xml:space="preserve">Toyota Prius </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$16,500</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$900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4.25% for 60 months</w:t>
            </w:r>
          </w:p>
        </w:tc>
      </w:tr>
      <w:tr w:rsidR="00A76884" w:rsidTr="0012254A">
        <w:tc>
          <w:tcPr>
            <w:tcW w:w="1240" w:type="pct"/>
            <w:vAlign w:val="center"/>
          </w:tcPr>
          <w:p w:rsidR="00A76884" w:rsidRPr="00A11EB6" w:rsidRDefault="00A11EB6" w:rsidP="00A11EB6">
            <w:pPr>
              <w:rPr>
                <w:rFonts w:ascii="Times New Roman" w:hAnsi="Times New Roman" w:cs="Times New Roman"/>
              </w:rPr>
            </w:pPr>
            <w:r>
              <w:rPr>
                <w:rFonts w:ascii="Times New Roman" w:hAnsi="Times New Roman" w:cs="Times New Roman"/>
              </w:rPr>
              <w:t>Toyota Carolla</w:t>
            </w:r>
          </w:p>
        </w:tc>
        <w:tc>
          <w:tcPr>
            <w:tcW w:w="1240"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$19,950</w:t>
            </w:r>
          </w:p>
        </w:tc>
        <w:tc>
          <w:tcPr>
            <w:tcW w:w="1003" w:type="pct"/>
            <w:vAlign w:val="center"/>
          </w:tcPr>
          <w:p w:rsidR="00A76884" w:rsidRPr="00A11EB6" w:rsidRDefault="00A11EB6" w:rsidP="00A11EB6">
            <w:pPr>
              <w:jc w:val="center"/>
              <w:rPr>
                <w:rFonts w:ascii="Times New Roman" w:hAnsi="Times New Roman" w:cs="Times New Roman"/>
              </w:rPr>
            </w:pPr>
            <w:r>
              <w:rPr>
                <w:rFonts w:ascii="Times New Roman" w:hAnsi="Times New Roman" w:cs="Times New Roman"/>
              </w:rPr>
              <w:t>$1,000</w:t>
            </w:r>
          </w:p>
        </w:tc>
        <w:tc>
          <w:tcPr>
            <w:tcW w:w="1516" w:type="pct"/>
            <w:vAlign w:val="center"/>
          </w:tcPr>
          <w:p w:rsidR="00A76884" w:rsidRPr="00A11EB6" w:rsidRDefault="00A11EB6" w:rsidP="0012254A">
            <w:pPr>
              <w:jc w:val="right"/>
              <w:rPr>
                <w:rFonts w:ascii="Times New Roman" w:hAnsi="Times New Roman" w:cs="Times New Roman"/>
              </w:rPr>
            </w:pPr>
            <w:r>
              <w:rPr>
                <w:rFonts w:ascii="Times New Roman" w:hAnsi="Times New Roman" w:cs="Times New Roman"/>
              </w:rPr>
              <w:t>44.3% for 60 months</w:t>
            </w:r>
          </w:p>
        </w:tc>
      </w:tr>
    </w:tbl>
    <w:p w:rsidR="00236B6D" w:rsidRDefault="00236B6D" w:rsidP="004B0375">
      <w:pPr>
        <w:rPr>
          <w:rFonts w:ascii="Times New Roman" w:hAnsi="Times New Roman" w:cs="Times New Roman"/>
          <w:b/>
          <w:bCs/>
          <w:u w:val="single"/>
        </w:rPr>
      </w:pPr>
    </w:p>
    <w:p w:rsidR="00803629" w:rsidRDefault="00803629" w:rsidP="004B0375">
      <w:pPr>
        <w:rPr>
          <w:rFonts w:ascii="Times New Roman" w:hAnsi="Times New Roman" w:cs="Times New Roman"/>
          <w:b/>
          <w:bCs/>
          <w:u w:val="single"/>
        </w:rPr>
      </w:pPr>
      <w:r>
        <w:rPr>
          <w:rFonts w:ascii="Times New Roman" w:hAnsi="Times New Roman" w:cs="Times New Roman"/>
          <w:b/>
          <w:bCs/>
          <w:u w:val="single"/>
        </w:rPr>
        <w:t>Solution:</w:t>
      </w:r>
    </w:p>
    <w:p w:rsidR="00803629" w:rsidRDefault="00803629" w:rsidP="004B0375">
      <w:pPr>
        <w:rPr>
          <w:rFonts w:ascii="Times New Roman" w:hAnsi="Times New Roman" w:cs="Times New Roman"/>
          <w:b/>
          <w:bCs/>
          <w:u w:val="single"/>
        </w:rPr>
      </w:pPr>
    </w:p>
    <w:p w:rsidR="004B0375" w:rsidRPr="004B0375" w:rsidRDefault="004B0375" w:rsidP="004B0375">
      <w:pPr>
        <w:pStyle w:val="ListParagraph"/>
        <w:numPr>
          <w:ilvl w:val="0"/>
          <w:numId w:val="1"/>
        </w:numPr>
        <w:ind w:left="360" w:hanging="450"/>
        <w:rPr>
          <w:rFonts w:ascii="Times New Roman" w:hAnsi="Times New Roman" w:cs="Times New Roman"/>
        </w:rPr>
      </w:pPr>
      <w:proofErr w:type="spellStart"/>
      <w:r>
        <w:rPr>
          <w:rFonts w:ascii="Times New Roman" w:hAnsi="Times New Roman" w:cs="Times New Roman"/>
        </w:rPr>
        <w:t>yghjghjgj</w:t>
      </w:r>
      <w:proofErr w:type="spellEnd"/>
    </w:p>
    <w:sectPr w:rsidR="004B0375" w:rsidRPr="004B0375" w:rsidSect="00A76884">
      <w:pgSz w:w="11906" w:h="16838" w:code="9"/>
      <w:pgMar w:top="720" w:right="720" w:bottom="720" w:left="720" w:header="461"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5884"/>
    <w:multiLevelType w:val="hybridMultilevel"/>
    <w:tmpl w:val="9BD4BFC4"/>
    <w:lvl w:ilvl="0" w:tplc="5D60BE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48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84"/>
    <w:rsid w:val="0012254A"/>
    <w:rsid w:val="00236B6D"/>
    <w:rsid w:val="004B0375"/>
    <w:rsid w:val="00803629"/>
    <w:rsid w:val="00832786"/>
    <w:rsid w:val="00A11EB6"/>
    <w:rsid w:val="00A76884"/>
    <w:rsid w:val="00AD0D8F"/>
    <w:rsid w:val="00E36F7F"/>
    <w:rsid w:val="00EE50F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7D33"/>
  <w15:chartTrackingRefBased/>
  <w15:docId w15:val="{385AF157-8EF4-4F4E-83F6-1298AA9F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884"/>
    <w:pPr>
      <w:ind w:left="720"/>
      <w:contextualSpacing/>
    </w:pPr>
  </w:style>
  <w:style w:type="table" w:styleId="TableGrid">
    <w:name w:val="Table Grid"/>
    <w:basedOn w:val="TableNormal"/>
    <w:uiPriority w:val="39"/>
    <w:rsid w:val="00A76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 SengHort</dc:creator>
  <cp:keywords/>
  <dc:description/>
  <cp:lastModifiedBy>Kry SengHort</cp:lastModifiedBy>
  <cp:revision>5</cp:revision>
  <dcterms:created xsi:type="dcterms:W3CDTF">2022-10-29T09:59:00Z</dcterms:created>
  <dcterms:modified xsi:type="dcterms:W3CDTF">2022-10-29T15:03:00Z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