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B2A4A"/>
          <w:sz w:val="40"/>
          <w:szCs w:val="40"/>
        </w:rPr>
        <w:t xml:space="preserve">ACTION PLAN</w:t>
      </w:r>
    </w:p>
    <w:p>
      <w:pPr>
        <w:spacing w:after="60"/>
        <w:jc w:val="center"/>
      </w:pPr>
      <w:r>
        <w:rPr>
          <w:rFonts w:ascii="Arial" w:cs="Arial" w:eastAsia="Arial" w:hAnsi="Arial"/>
          <w:color w:val="2E5090"/>
          <w:sz w:val="28"/>
          <w:szCs w:val="28"/>
        </w:rPr>
        <w:t xml:space="preserve">Finishing Our Thesis</w:t>
      </w:r>
    </w:p>
    <w:p>
      <w:pPr>
        <w:spacing w:after="300"/>
        <w:jc w:val="center"/>
      </w:pPr>
      <w:r>
        <w:rPr>
          <w:rFonts w:ascii="Arial" w:cs="Arial" w:eastAsia="Arial" w:hAnsi="Arial"/>
          <w:color w:val="666666"/>
          <w:sz w:val="18"/>
          <w:szCs w:val="18"/>
        </w:rPr>
        <w:t xml:space="preserve">March 28, 2026  |  Defense: April 2026  |  PPO: Done  |  A2C: Done  |  DQN: Pending</w:t>
      </w:r>
    </w:p>
    <w:p>
      <w:pPr>
        <w:pBdr>
          <w:bottom w:val="single" w:color="CCCCCC" w:sz="6" w:space="1"/>
        </w:pBdr>
        <w:spacing w:after="200" w:before="200"/>
      </w:pPr>
    </w:p>
    <w:p>
      <w:pPr>
        <w:pStyle w:val="Heading1"/>
        <w:spacing w:after="120" w:before="360"/>
      </w:pPr>
      <w:r>
        <w:rPr>
          <w:rFonts w:ascii="Arial" w:cs="Arial" w:eastAsia="Arial" w:hAnsi="Arial"/>
          <w:b/>
          <w:bCs/>
          <w:color w:val="1B2A4A"/>
          <w:sz w:val="32"/>
          <w:szCs w:val="32"/>
        </w:rPr>
        <w:t xml:space="preserve">Where We Are Right Now</w:t>
      </w:r>
    </w:p>
    <w:p>
      <w:pPr>
        <w:spacing w:after="120"/>
      </w:pPr>
      <w:r>
        <w:rPr>
          <w:rFonts w:ascii="Arial" w:cs="Arial" w:eastAsia="Arial" w:hAnsi="Arial"/>
          <w:sz w:val="22"/>
          <w:szCs w:val="22"/>
        </w:rPr>
        <w:t xml:space="preserve">We’ve completed training and evaluation for </w:t>
      </w:r>
      <w:r>
        <w:rPr>
          <w:rFonts w:ascii="Arial" w:cs="Arial" w:eastAsia="Arial" w:hAnsi="Arial"/>
          <w:b/>
          <w:bCs/>
          <w:sz w:val="22"/>
          <w:szCs w:val="22"/>
        </w:rPr>
        <w:t xml:space="preserve">PPO</w:t>
      </w:r>
      <w:r>
        <w:rPr>
          <w:rFonts w:ascii="Arial" w:cs="Arial" w:eastAsia="Arial" w:hAnsi="Arial"/>
          <w:sz w:val="22"/>
          <w:szCs w:val="22"/>
        </w:rPr>
        <w:t xml:space="preserve"> and </w:t>
      </w:r>
      <w:r>
        <w:rPr>
          <w:rFonts w:ascii="Arial" w:cs="Arial" w:eastAsia="Arial" w:hAnsi="Arial"/>
          <w:b/>
          <w:bCs/>
          <w:sz w:val="22"/>
          <w:szCs w:val="22"/>
        </w:rPr>
        <w:t xml:space="preserve">A2C</w:t>
      </w:r>
      <w:r>
        <w:rPr>
          <w:rFonts w:ascii="Arial" w:cs="Arial" w:eastAsia="Arial" w:hAnsi="Arial"/>
          <w:sz w:val="22"/>
          <w:szCs w:val="22"/>
        </w:rPr>
        <w:t xml:space="preserve">. Both show the same result: </w:t>
      </w:r>
      <w:r>
        <w:rPr>
          <w:rFonts w:ascii="Arial" w:cs="Arial" w:eastAsia="Arial" w:hAnsi="Arial"/>
          <w:b/>
          <w:bCs/>
          <w:color w:val="C0392B"/>
          <w:sz w:val="22"/>
          <w:szCs w:val="22"/>
        </w:rPr>
        <w:t xml:space="preserve">no significant difference between PRNG and QRNG</w:t>
      </w:r>
      <w:r>
        <w:rPr>
          <w:rFonts w:ascii="Arial" w:cs="Arial" w:eastAsia="Arial" w:hAnsi="Arial"/>
          <w:sz w:val="22"/>
          <w:szCs w:val="22"/>
        </w:rPr>
        <w:t xml:space="preserve"> — not in maze structure, not in agent performance, not in generalization.</w:t>
      </w:r>
    </w:p>
    <w:p>
      <w:pPr>
        <w:spacing w:after="120"/>
      </w:pPr>
      <w:r>
        <w:rPr>
          <w:rFonts w:ascii="Arial" w:cs="Arial" w:eastAsia="Arial" w:hAnsi="Arial"/>
          <w:sz w:val="22"/>
          <w:szCs w:val="22"/>
        </w:rPr>
        <w:t xml:space="preserve">This might feel like a failed experiment, but it’s not. Here’s why, and what we need to do to finish strong.</w:t>
      </w:r>
    </w:p>
    <w:p>
      <w:pPr>
        <w:pBdr>
          <w:bottom w:val="single" w:color="CCCCCC" w:sz="6" w:space="1"/>
        </w:pBdr>
        <w:spacing w:after="200" w:before="200"/>
      </w:pPr>
    </w:p>
    <w:p>
      <w:pPr>
        <w:pStyle w:val="Heading1"/>
        <w:spacing w:after="120" w:before="360"/>
      </w:pPr>
      <w:r>
        <w:rPr>
          <w:rFonts w:ascii="Arial" w:cs="Arial" w:eastAsia="Arial" w:hAnsi="Arial"/>
          <w:b/>
          <w:bCs/>
          <w:color w:val="1B2A4A"/>
          <w:sz w:val="32"/>
          <w:szCs w:val="32"/>
        </w:rPr>
        <w:t xml:space="preserve">Why There’s No Difference (The Key Insight)</w:t>
      </w:r>
    </w:p>
    <w:p>
      <w:pPr>
        <w:spacing w:after="120"/>
      </w:pPr>
      <w:r>
        <w:rPr>
          <w:rFonts w:ascii="Arial" w:cs="Arial" w:eastAsia="Arial" w:hAnsi="Arial"/>
          <w:i/>
          <w:iCs/>
          <w:sz w:val="22"/>
          <w:szCs w:val="22"/>
        </w:rPr>
        <w:t xml:space="preserve">This is the most important thing for all of us to understand because the panel </w:t>
      </w:r>
      <w:r>
        <w:rPr>
          <w:rFonts w:ascii="Arial" w:cs="Arial" w:eastAsia="Arial" w:hAnsi="Arial"/>
          <w:b/>
          <w:bCs/>
          <w:i/>
          <w:iCs/>
          <w:sz w:val="22"/>
          <w:szCs w:val="22"/>
        </w:rPr>
        <w:t xml:space="preserve">WILL</w:t>
      </w:r>
      <w:r>
        <w:rPr>
          <w:rFonts w:ascii="Arial" w:cs="Arial" w:eastAsia="Arial" w:hAnsi="Arial"/>
          <w:i/>
          <w:iCs/>
          <w:sz w:val="22"/>
          <w:szCs w:val="22"/>
        </w:rPr>
        <w:t xml:space="preserve"> ask.</w:t>
      </w:r>
    </w:p>
    <w:p>
      <w:pPr>
        <w:pStyle w:val="Heading2"/>
        <w:spacing w:after="120" w:before="240"/>
      </w:pPr>
      <w:r>
        <w:rPr>
          <w:rFonts w:ascii="Arial" w:cs="Arial" w:eastAsia="Arial" w:hAnsi="Arial"/>
          <w:b/>
          <w:bCs/>
          <w:color w:val="2E5090"/>
          <w:sz w:val="26"/>
          <w:szCs w:val="26"/>
        </w:rPr>
        <w:t xml:space="preserve">The Bottleneck Problem</w:t>
      </w:r>
    </w:p>
    <w:p>
      <w:pPr>
        <w:spacing w:after="120"/>
      </w:pPr>
      <w:r>
        <w:rPr>
          <w:rFonts w:ascii="Arial" w:cs="Arial" w:eastAsia="Arial" w:hAnsi="Arial"/>
          <w:sz w:val="22"/>
          <w:szCs w:val="22"/>
        </w:rPr>
        <w:t xml:space="preserve">Our maze generator does this: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CCCCCC" w:sz="1"/>
              <w:left w:val="single" w:color="CCCCCC" w:sz="1"/>
              <w:bottom w:val="single" w:color="CCCCCC" w:sz="1"/>
              <w:right w:val="single" w:color="CCCCCC" w:sz="1"/>
            </w:tcBorders>
            <w:shd w:fill="F5F5F5" w:val="clear"/>
            <w:tcMar>
              <w:top w:type="dxa" w:w="150"/>
              <w:left w:type="dxa" w:w="300"/>
              <w:bottom w:type="dxa" w:w="150"/>
              <w:right w:type="dxa" w:w="300"/>
            </w:tcMar>
          </w:tcPr>
          <w:p>
            <w:pPr>
              <w:spacing w:after="60"/>
            </w:pPr>
            <w:r>
              <w:rPr>
                <w:rFonts w:ascii="Courier New" w:cs="Courier New" w:eastAsia="Courier New" w:hAnsi="Courier New"/>
                <w:sz w:val="20"/>
                <w:szCs w:val="20"/>
              </w:rPr>
              <w:t xml:space="preserve">QRNG seed (64-bit integer)</w:t>
            </w:r>
          </w:p>
          <w:p>
            <w:pPr>
              <w:spacing w:after="60"/>
              <w:jc w:val="center"/>
            </w:pPr>
            <w:r>
              <w:rPr>
                <w:rFonts w:ascii="Arial" w:cs="Arial" w:eastAsia="Arial" w:hAnsi="Arial"/>
                <w:sz w:val="20"/>
                <w:szCs w:val="20"/>
              </w:rPr>
              <w:t xml:space="preserve">↓</w:t>
            </w:r>
          </w:p>
          <w:p>
            <w:pPr>
              <w:spacing w:after="60"/>
            </w:pPr>
            <w:r>
              <w:rPr>
                <w:rFonts w:ascii="Courier New" w:cs="Courier New" w:eastAsia="Courier New" w:hAnsi="Courier New"/>
                <w:b/>
                <w:bCs/>
                <w:sz w:val="20"/>
                <w:szCs w:val="20"/>
              </w:rPr>
              <w:t xml:space="preserve">random.seed(seed)</w:t>
            </w:r>
            <w:r>
              <w:rPr>
                <w:rFonts w:ascii="Arial" w:cs="Arial" w:eastAsia="Arial" w:hAnsi="Arial"/>
                <w:b/>
                <w:bCs/>
                <w:color w:val="C0392B"/>
                <w:sz w:val="20"/>
                <w:szCs w:val="20"/>
              </w:rPr>
              <w:t xml:space="preserve">   ← Both paths converge HERE</w:t>
            </w:r>
          </w:p>
          <w:p>
            <w:pPr>
              <w:spacing w:after="60"/>
              <w:jc w:val="center"/>
            </w:pPr>
            <w:r>
              <w:rPr>
                <w:rFonts w:ascii="Arial" w:cs="Arial" w:eastAsia="Arial" w:hAnsi="Arial"/>
                <w:sz w:val="20"/>
                <w:szCs w:val="20"/>
              </w:rPr>
              <w:t xml:space="preserve">↓</w:t>
            </w:r>
          </w:p>
          <w:p>
            <w:pPr>
              <w:spacing w:after="60"/>
            </w:pPr>
            <w:r>
              <w:rPr>
                <w:rFonts w:ascii="Courier New" w:cs="Courier New" w:eastAsia="Courier New" w:hAnsi="Courier New"/>
                <w:sz w:val="20"/>
                <w:szCs w:val="20"/>
              </w:rPr>
              <w:t xml:space="preserve">Mersenne Twister engine (Python’s random module)</w:t>
            </w:r>
          </w:p>
          <w:p>
            <w:pPr>
              <w:spacing w:after="60"/>
              <w:jc w:val="center"/>
            </w:pPr>
            <w:r>
              <w:rPr>
                <w:rFonts w:ascii="Arial" w:cs="Arial" w:eastAsia="Arial" w:hAnsi="Arial"/>
                <w:sz w:val="20"/>
                <w:szCs w:val="20"/>
              </w:rPr>
              <w:t xml:space="preserve">↓</w:t>
            </w:r>
          </w:p>
          <w:p>
            <w:pPr>
              <w:spacing w:after="60"/>
            </w:pPr>
            <w:r>
              <w:rPr>
                <w:rFonts w:ascii="Courier New" w:cs="Courier New" w:eastAsia="Courier New" w:hAnsi="Courier New"/>
                <w:sz w:val="20"/>
                <w:szCs w:val="20"/>
              </w:rPr>
              <w:t xml:space="preserve">random.shuffle(4 directions) x ~100 times</w:t>
            </w:r>
          </w:p>
          <w:p>
            <w:pPr>
              <w:spacing w:after="60"/>
              <w:jc w:val="center"/>
            </w:pPr>
            <w:r>
              <w:rPr>
                <w:rFonts w:ascii="Arial" w:cs="Arial" w:eastAsia="Arial" w:hAnsi="Arial"/>
                <w:sz w:val="20"/>
                <w:szCs w:val="20"/>
              </w:rPr>
              <w:t xml:space="preserve">↓</w:t>
            </w:r>
          </w:p>
          <w:p>
            <w:r>
              <w:rPr>
                <w:rFonts w:ascii="Courier New" w:cs="Courier New" w:eastAsia="Courier New" w:hAnsi="Courier New"/>
                <w:sz w:val="20"/>
                <w:szCs w:val="20"/>
              </w:rPr>
              <w:t xml:space="preserve">20x20 maze output</w:t>
            </w:r>
          </w:p>
        </w:tc>
      </w:tr>
    </w:tbl>
    <w:p>
      <w:pPr>
        <w:spacing w:after="60"/>
      </w:pPr>
    </w:p>
    <w:p>
      <w:pPr>
        <w:spacing w:after="120"/>
      </w:pPr>
      <w:r>
        <w:rPr>
          <w:rFonts w:ascii="Arial" w:cs="Arial" w:eastAsia="Arial" w:hAnsi="Arial"/>
          <w:sz w:val="22"/>
          <w:szCs w:val="22"/>
        </w:rPr>
        <w:t xml:space="preserve">The moment we call </w:t>
      </w:r>
      <w:r>
        <w:rPr>
          <w:rFonts w:ascii="Courier New" w:cs="Courier New" w:eastAsia="Courier New" w:hAnsi="Courier New"/>
          <w:sz w:val="20"/>
          <w:szCs w:val="20"/>
        </w:rPr>
        <w:t xml:space="preserve">random.seed(seed)</w:t>
      </w:r>
      <w:r>
        <w:rPr>
          <w:rFonts w:ascii="Arial" w:cs="Arial" w:eastAsia="Arial" w:hAnsi="Arial"/>
          <w:sz w:val="22"/>
          <w:szCs w:val="22"/>
        </w:rPr>
        <w:t xml:space="preserve">, whether the seed came from PRNG or QRNG, </w:t>
      </w:r>
      <w:r>
        <w:rPr>
          <w:rFonts w:ascii="Arial" w:cs="Arial" w:eastAsia="Arial" w:hAnsi="Arial"/>
          <w:b/>
          <w:bCs/>
          <w:sz w:val="22"/>
          <w:szCs w:val="22"/>
        </w:rPr>
        <w:t xml:space="preserve">Python’s Mersenne Twister takes over</w:t>
      </w:r>
      <w:r>
        <w:rPr>
          <w:rFonts w:ascii="Arial" w:cs="Arial" w:eastAsia="Arial" w:hAnsi="Arial"/>
          <w:sz w:val="22"/>
          <w:szCs w:val="22"/>
        </w:rPr>
        <w:t xml:space="preserve">. From that point, every </w:t>
      </w:r>
      <w:r>
        <w:rPr>
          <w:rFonts w:ascii="Courier New" w:cs="Courier New" w:eastAsia="Courier New" w:hAnsi="Courier New"/>
          <w:sz w:val="20"/>
          <w:szCs w:val="20"/>
        </w:rPr>
        <w:t xml:space="preserve">random.shuffle()</w:t>
      </w:r>
      <w:r>
        <w:rPr>
          <w:rFonts w:ascii="Arial" w:cs="Arial" w:eastAsia="Arial" w:hAnsi="Arial"/>
          <w:sz w:val="22"/>
          <w:szCs w:val="22"/>
        </w:rPr>
        <w:t xml:space="preserve"> call is generated by MT — the QRNG seed is just a number that initializes MT’s state. MT doesn’t know or care if that number came from a quantum computer or from Python’s random module.</w:t>
      </w:r>
    </w:p>
    <w:p>
      <w:pPr>
        <w:pStyle w:val="Heading2"/>
        <w:spacing w:after="120" w:before="240"/>
      </w:pPr>
      <w:r>
        <w:rPr>
          <w:rFonts w:ascii="Arial" w:cs="Arial" w:eastAsia="Arial" w:hAnsi="Arial"/>
          <w:b/>
          <w:bCs/>
          <w:color w:val="2E5090"/>
          <w:sz w:val="26"/>
          <w:szCs w:val="26"/>
        </w:rPr>
        <w:t xml:space="preserve">Why Mersenne Twister is “Too Good”</w:t>
      </w:r>
    </w:p>
    <w:p>
      <w:pPr>
        <w:pStyle w:val="ListParagraph"/>
        <w:numPr>
          <w:ilvl w:val="0"/>
          <w:numId w:val="2"/>
        </w:numPr>
        <w:spacing w:after="80"/>
      </w:pPr>
      <w:r>
        <w:rPr>
          <w:rFonts w:ascii="Arial" w:cs="Arial" w:eastAsia="Arial" w:hAnsi="Arial"/>
          <w:sz w:val="22"/>
          <w:szCs w:val="22"/>
        </w:rPr>
        <w:t xml:space="preserve">Period of 2</w:t>
      </w:r>
      <w:r>
        <w:rPr>
          <w:rFonts w:ascii="Arial" w:cs="Arial" w:eastAsia="Arial" w:hAnsi="Arial"/>
          <w:sz w:val="22"/>
          <w:szCs w:val="22"/>
          <w:vertAlign w:val="superscript"/>
        </w:rPr>
        <w:t xml:space="preserve">19937</w:t>
      </w:r>
      <w:r>
        <w:rPr>
          <w:rFonts w:ascii="Arial" w:cs="Arial" w:eastAsia="Arial" w:hAnsi="Arial"/>
          <w:sz w:val="22"/>
          <w:szCs w:val="22"/>
        </w:rPr>
        <w:t xml:space="preserve"> (will never repeat in our lifetime)</w:t>
      </w:r>
    </w:p>
    <w:p>
      <w:pPr>
        <w:pStyle w:val="ListParagraph"/>
        <w:numPr>
          <w:ilvl w:val="0"/>
          <w:numId w:val="2"/>
        </w:numPr>
        <w:spacing w:after="80"/>
      </w:pPr>
      <w:r>
        <w:rPr>
          <w:rFonts w:ascii="Arial" w:cs="Arial" w:eastAsia="Arial" w:hAnsi="Arial"/>
          <w:sz w:val="22"/>
          <w:szCs w:val="22"/>
        </w:rPr>
        <w:t xml:space="preserve">623-dimensional equidistribution (statistically uniform in all practical dimensions)</w:t>
      </w:r>
    </w:p>
    <w:p>
      <w:pPr>
        <w:pStyle w:val="ListParagraph"/>
        <w:numPr>
          <w:ilvl w:val="0"/>
          <w:numId w:val="2"/>
        </w:numPr>
        <w:spacing w:after="80"/>
      </w:pPr>
      <w:r>
        <w:rPr>
          <w:rFonts w:ascii="Arial" w:cs="Arial" w:eastAsia="Arial" w:hAnsi="Arial"/>
          <w:sz w:val="22"/>
          <w:szCs w:val="22"/>
        </w:rPr>
        <w:t xml:space="preserve">Passes all standard randomness tests (Diehard, TestU01, BigCrush)</w:t>
      </w:r>
    </w:p>
    <w:p>
      <w:pPr>
        <w:spacing w:after="60"/>
      </w:pPr>
    </w:p>
    <w:p>
      <w:pPr>
        <w:spacing w:after="120"/>
      </w:pPr>
      <w:r>
        <w:rPr>
          <w:rFonts w:ascii="Arial" w:cs="Arial" w:eastAsia="Arial" w:hAnsi="Arial"/>
          <w:sz w:val="22"/>
          <w:szCs w:val="22"/>
        </w:rPr>
        <w:t xml:space="preserve">For the task of shuffling 4 directions ~100 times to carve a 20x20 maze, MT produces output that is </w:t>
      </w:r>
      <w:r>
        <w:rPr>
          <w:rFonts w:ascii="Arial" w:cs="Arial" w:eastAsia="Arial" w:hAnsi="Arial"/>
          <w:b/>
          <w:bCs/>
          <w:sz w:val="22"/>
          <w:szCs w:val="22"/>
        </w:rPr>
        <w:t xml:space="preserve">statistically indistinguishable from true randomness</w:t>
      </w:r>
      <w:r>
        <w:rPr>
          <w:rFonts w:ascii="Arial" w:cs="Arial" w:eastAsia="Arial" w:hAnsi="Arial"/>
          <w:sz w:val="22"/>
          <w:szCs w:val="22"/>
        </w:rPr>
        <w:t xml:space="preserve">. QRNG’s advantage (true unpredictability) only matters when someone is trying to PREDICT the output (cryptography). We’re not predicting — we just need uniform shuffles, and MT already gives us that.</w:t>
      </w:r>
    </w:p>
    <w:p>
      <w:pPr>
        <w:pStyle w:val="Heading2"/>
        <w:spacing w:after="120" w:before="240"/>
      </w:pPr>
      <w:r>
        <w:rPr>
          <w:rFonts w:ascii="Arial" w:cs="Arial" w:eastAsia="Arial" w:hAnsi="Arial"/>
          <w:b/>
          <w:bCs/>
          <w:color w:val="2E5090"/>
          <w:sz w:val="26"/>
          <w:szCs w:val="26"/>
        </w:rPr>
        <w:t xml:space="preserve">The Algorithm Constraint</w:t>
      </w:r>
    </w:p>
    <w:p>
      <w:pPr>
        <w:spacing w:after="120"/>
      </w:pPr>
      <w:r>
        <w:rPr>
          <w:rFonts w:ascii="Arial" w:cs="Arial" w:eastAsia="Arial" w:hAnsi="Arial"/>
          <w:sz w:val="22"/>
          <w:szCs w:val="22"/>
        </w:rPr>
        <w:t xml:space="preserve">Recursive backtracking on a fixed 20x20 grid is highly constrained:</w:t>
      </w:r>
    </w:p>
    <w:p>
      <w:pPr>
        <w:pStyle w:val="ListParagraph"/>
        <w:numPr>
          <w:ilvl w:val="0"/>
          <w:numId w:val="2"/>
        </w:numPr>
        <w:spacing w:after="80"/>
      </w:pPr>
      <w:r>
        <w:rPr>
          <w:rFonts w:ascii="Arial" w:cs="Arial" w:eastAsia="Arial" w:hAnsi="Arial"/>
          <w:sz w:val="22"/>
          <w:szCs w:val="22"/>
        </w:rPr>
        <w:t xml:space="preserve">Always produces a perfect maze (spanning tree, one solution path)</w:t>
      </w:r>
    </w:p>
    <w:p>
      <w:pPr>
        <w:pStyle w:val="ListParagraph"/>
        <w:numPr>
          <w:ilvl w:val="0"/>
          <w:numId w:val="2"/>
        </w:numPr>
        <w:spacing w:after="80"/>
      </w:pPr>
      <w:r>
        <w:rPr>
          <w:rFonts w:ascii="Arial" w:cs="Arial" w:eastAsia="Arial" w:hAnsi="Arial"/>
          <w:sz w:val="22"/>
          <w:szCs w:val="22"/>
        </w:rPr>
        <w:t xml:space="preserve">Fixed number of path cells</w:t>
      </w:r>
    </w:p>
    <w:p>
      <w:pPr>
        <w:pStyle w:val="ListParagraph"/>
        <w:numPr>
          <w:ilvl w:val="0"/>
          <w:numId w:val="2"/>
        </w:numPr>
        <w:spacing w:after="80"/>
      </w:pPr>
      <w:r>
        <w:rPr>
          <w:rFonts w:ascii="Arial" w:cs="Arial" w:eastAsia="Arial" w:hAnsi="Arial"/>
          <w:sz w:val="22"/>
          <w:szCs w:val="22"/>
        </w:rPr>
        <w:t xml:space="preserve">As carving progresses, fewer valid neighbors remain, so randomness gets funneled into fewer choices</w:t>
      </w:r>
    </w:p>
    <w:p>
      <w:pPr>
        <w:spacing w:after="60"/>
      </w:pPr>
    </w:p>
    <w:p>
      <w:pPr>
        <w:spacing w:after="120"/>
      </w:pPr>
      <w:r>
        <w:rPr>
          <w:rFonts w:ascii="Arial" w:cs="Arial" w:eastAsia="Arial" w:hAnsi="Arial"/>
          <w:sz w:val="22"/>
          <w:szCs w:val="22"/>
        </w:rPr>
        <w:t xml:space="preserve">This means the </w:t>
      </w:r>
      <w:r>
        <w:rPr>
          <w:rFonts w:ascii="Arial" w:cs="Arial" w:eastAsia="Arial" w:hAnsi="Arial"/>
          <w:b/>
          <w:bCs/>
          <w:sz w:val="22"/>
          <w:szCs w:val="22"/>
        </w:rPr>
        <w:t xml:space="preserve">output space of possible mazes is the same</w:t>
      </w:r>
      <w:r>
        <w:rPr>
          <w:rFonts w:ascii="Arial" w:cs="Arial" w:eastAsia="Arial" w:hAnsi="Arial"/>
          <w:sz w:val="22"/>
          <w:szCs w:val="22"/>
        </w:rPr>
        <w:t xml:space="preserve"> regardless of randomness source. Any well-distributed seed source (PRNG or QRNG) maps to the same statistical population of mazes.</w:t>
      </w:r>
    </w:p>
    <w:p>
      <w:pPr>
        <w:pBdr>
          <w:bottom w:val="single" w:color="CCCCCC" w:sz="6" w:space="1"/>
        </w:pBdr>
        <w:spacing w:after="200" w:before="200"/>
      </w:pPr>
    </w:p>
    <w:p>
      <w:pPr>
        <w:pStyle w:val="Heading1"/>
        <w:spacing w:after="120" w:before="360"/>
      </w:pPr>
      <w:r>
        <w:rPr>
          <w:rFonts w:ascii="Arial" w:cs="Arial" w:eastAsia="Arial" w:hAnsi="Arial"/>
          <w:b/>
          <w:bCs/>
          <w:color w:val="1B2A4A"/>
          <w:sz w:val="32"/>
          <w:szCs w:val="32"/>
        </w:rPr>
        <w:t xml:space="preserve">Our Results Are Actually Strong</w:t>
      </w:r>
    </w:p>
    <w:p>
      <w:pPr>
        <w:pStyle w:val="Heading2"/>
        <w:spacing w:after="120" w:before="240"/>
      </w:pPr>
      <w:r>
        <w:rPr>
          <w:rFonts w:ascii="Arial" w:cs="Arial" w:eastAsia="Arial" w:hAnsi="Arial"/>
          <w:b/>
          <w:bCs/>
          <w:color w:val="2E5090"/>
          <w:sz w:val="26"/>
          <w:szCs w:val="26"/>
        </w:rPr>
        <w:t xml:space="preserve">Null Hypotheses Supported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Hypothesis</w:t>
            </w:r>
          </w:p>
        </w:tc>
        <w:tc>
          <w:tcPr>
            <w:tcW w:type="dxa" w:w="6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Evidence</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H0-1: No structural difference in mazes</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0/9 metrics significant, all p &gt; 0.05, PERMANOVA p = 0.749, identical medians across 76,800+ mazes per group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H0-2: No learning curve difference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PRNG and QRNG agents converge to similar training success rates for both PPO and A2C</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H0-3: QRNG agents don’t generalize better</w:t>
            </w:r>
          </w:p>
        </w:tc>
        <w:tc>
          <w:tcPr>
            <w:tcW w:type="dxa" w:w="6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PPO: PRNG agent (78% intra, 76% cross) ≥ QRNG agent (79% intra, 68% cross). A2C: comparable results</w:t>
            </w:r>
          </w:p>
        </w:tc>
      </w:tr>
    </w:tbl>
    <w:p>
      <w:pPr>
        <w:spacing w:after="60"/>
      </w:pPr>
    </w:p>
    <w:p>
      <w:pPr>
        <w:pStyle w:val="Heading2"/>
        <w:spacing w:after="120" w:before="240"/>
      </w:pPr>
      <w:r>
        <w:rPr>
          <w:rFonts w:ascii="Arial" w:cs="Arial" w:eastAsia="Arial" w:hAnsi="Arial"/>
          <w:b/>
          <w:bCs/>
          <w:color w:val="2E5090"/>
          <w:sz w:val="26"/>
          <w:szCs w:val="26"/>
        </w:rPr>
        <w:t xml:space="preserve">Why This Is a Legitimate Contribution</w:t>
      </w:r>
    </w:p>
    <w:p>
      <w:pPr>
        <w:pStyle w:val="ListParagraph"/>
        <w:numPr>
          <w:ilvl w:val="0"/>
          <w:numId w:val="2"/>
        </w:numPr>
        <w:spacing w:after="80"/>
      </w:pPr>
      <w:r>
        <w:rPr>
          <w:rFonts w:ascii="Arial" w:cs="Arial" w:eastAsia="Arial" w:hAnsi="Arial"/>
          <w:b/>
          <w:bCs/>
          <w:sz w:val="22"/>
          <w:szCs w:val="22"/>
        </w:rPr>
        <w:t xml:space="preserve">No one has empirically tested this before</w:t>
      </w:r>
      <w:r>
        <w:rPr>
          <w:rFonts w:ascii="Arial" w:cs="Arial" w:eastAsia="Arial" w:hAnsi="Arial"/>
          <w:sz w:val="22"/>
          <w:szCs w:val="22"/>
        </w:rPr>
        <w:t xml:space="preserve"> — our novelty claim holds</w:t>
      </w:r>
    </w:p>
    <w:p>
      <w:pPr>
        <w:pStyle w:val="ListParagraph"/>
        <w:numPr>
          <w:ilvl w:val="0"/>
          <w:numId w:val="2"/>
        </w:numPr>
        <w:spacing w:after="80"/>
      </w:pPr>
      <w:r>
        <w:rPr>
          <w:rFonts w:ascii="Arial" w:cs="Arial" w:eastAsia="Arial" w:hAnsi="Arial"/>
          <w:b/>
          <w:bCs/>
          <w:sz w:val="22"/>
          <w:szCs w:val="22"/>
        </w:rPr>
        <w:t xml:space="preserve">We tested across two algorithms</w:t>
      </w:r>
      <w:r>
        <w:rPr>
          <w:rFonts w:ascii="Arial" w:cs="Arial" w:eastAsia="Arial" w:hAnsi="Arial"/>
          <w:sz w:val="22"/>
          <w:szCs w:val="22"/>
        </w:rPr>
        <w:t xml:space="preserve"> (soon three with DQN), 9 structural metrics, and 153,600+ mazes total</w:t>
      </w:r>
    </w:p>
    <w:p>
      <w:pPr>
        <w:pStyle w:val="ListParagraph"/>
        <w:numPr>
          <w:ilvl w:val="0"/>
          <w:numId w:val="2"/>
        </w:numPr>
        <w:spacing w:after="80"/>
      </w:pPr>
      <w:r>
        <w:rPr>
          <w:rFonts w:ascii="Arial" w:cs="Arial" w:eastAsia="Arial" w:hAnsi="Arial"/>
          <w:sz w:val="22"/>
          <w:szCs w:val="22"/>
        </w:rPr>
        <w:t xml:space="preserve">Proving “no difference” with rigorous evidence is as valuable as proving a difference</w:t>
      </w:r>
    </w:p>
    <w:p>
      <w:pPr>
        <w:pStyle w:val="ListParagraph"/>
        <w:numPr>
          <w:ilvl w:val="0"/>
          <w:numId w:val="2"/>
        </w:numPr>
        <w:spacing w:after="80"/>
      </w:pPr>
      <w:r>
        <w:rPr>
          <w:rFonts w:ascii="Arial" w:cs="Arial" w:eastAsia="Arial" w:hAnsi="Arial"/>
          <w:sz w:val="22"/>
          <w:szCs w:val="22"/>
        </w:rPr>
        <w:t xml:space="preserve">We can explain the theoretical WHY — that’s what makes it strong</w:t>
      </w:r>
    </w:p>
    <w:p>
      <w:r>
        <w:br w:type="page"/>
      </w:r>
    </w:p>
    <w:p>
      <w:pPr>
        <w:pStyle w:val="Heading1"/>
        <w:spacing w:after="120" w:before="360"/>
      </w:pPr>
      <w:r>
        <w:rPr>
          <w:rFonts w:ascii="Arial" w:cs="Arial" w:eastAsia="Arial" w:hAnsi="Arial"/>
          <w:b/>
          <w:bCs/>
          <w:color w:val="1B2A4A"/>
          <w:sz w:val="32"/>
          <w:szCs w:val="32"/>
        </w:rPr>
        <w:t xml:space="preserve">Remaining Tasks</w:t>
      </w:r>
    </w:p>
    <w:p>
      <w:pPr>
        <w:pStyle w:val="Heading2"/>
        <w:spacing w:after="120" w:before="240"/>
      </w:pPr>
      <w:r>
        <w:rPr>
          <w:rFonts w:ascii="Arial" w:cs="Arial" w:eastAsia="Arial" w:hAnsi="Arial"/>
          <w:b/>
          <w:bCs/>
          <w:color w:val="2E5090"/>
          <w:sz w:val="26"/>
          <w:szCs w:val="26"/>
        </w:rPr>
        <w:t xml:space="preserve">Task 1: Run DQN Training + Evaluation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0"/>
                <w:szCs w:val="20"/>
              </w:rPr>
              <w:t xml:space="preserve">Who:</w:t>
            </w:r>
          </w:p>
        </w:tc>
        <w:tc>
          <w:tcPr>
            <w:tcW w:type="dxa" w:w="7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C0392B"/>
                <w:sz w:val="20"/>
                <w:szCs w:val="20"/>
              </w:rPr>
              <w:t xml:space="preserve">[assign]</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20"/>
                <w:szCs w:val="20"/>
              </w:rPr>
              <w:t xml:space="preserve">Deadline:</w:t>
            </w:r>
          </w:p>
        </w:tc>
        <w:tc>
          <w:tcPr>
            <w:tcW w:type="dxa" w:w="7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C0392B"/>
                <w:sz w:val="20"/>
                <w:szCs w:val="20"/>
              </w:rPr>
              <w:t xml:space="preserve">ASAP (this is the last missing piece)</w:t>
            </w:r>
          </w:p>
        </w:tc>
      </w:tr>
    </w:tbl>
    <w:p>
      <w:pPr>
        <w:spacing w:after="60"/>
      </w:pPr>
    </w:p>
    <w:p>
      <w:pPr>
        <w:spacing w:after="120"/>
      </w:pPr>
      <w:r>
        <w:rPr>
          <w:rFonts w:ascii="Arial" w:cs="Arial" w:eastAsia="Arial" w:hAnsi="Arial"/>
          <w:sz w:val="22"/>
          <w:szCs w:val="22"/>
        </w:rPr>
        <w:t xml:space="preserve">We need DQN to complete our three-algorithm benchmark. Steps:</w:t>
      </w:r>
    </w:p>
    <w:p>
      <w:pPr>
        <w:pStyle w:val="ListParagraph"/>
        <w:numPr>
          <w:ilvl w:val="0"/>
          <w:numId w:val="3"/>
        </w:numPr>
        <w:spacing w:after="80"/>
      </w:pPr>
      <w:r>
        <w:rPr>
          <w:rFonts w:ascii="Arial" w:cs="Arial" w:eastAsia="Arial" w:hAnsi="Arial"/>
          <w:sz w:val="22"/>
          <w:szCs w:val="22"/>
        </w:rPr>
        <w:t xml:space="preserve">Train DQN on PRNG seeds (10M timesteps)</w:t>
      </w:r>
    </w:p>
    <w:p>
      <w:pPr>
        <w:pStyle w:val="ListParagraph"/>
        <w:numPr>
          <w:ilvl w:val="0"/>
          <w:numId w:val="3"/>
        </w:numPr>
        <w:spacing w:after="80"/>
      </w:pPr>
      <w:r>
        <w:rPr>
          <w:rFonts w:ascii="Arial" w:cs="Arial" w:eastAsia="Arial" w:hAnsi="Arial"/>
          <w:sz w:val="22"/>
          <w:szCs w:val="22"/>
        </w:rPr>
        <w:t xml:space="preserve">Train DQN on QRNG seeds (10M timesteps)</w:t>
      </w:r>
    </w:p>
    <w:p>
      <w:pPr>
        <w:pStyle w:val="ListParagraph"/>
        <w:numPr>
          <w:ilvl w:val="0"/>
          <w:numId w:val="3"/>
        </w:numPr>
        <w:spacing w:after="80"/>
      </w:pPr>
      <w:r>
        <w:rPr>
          <w:rFonts w:ascii="Arial" w:cs="Arial" w:eastAsia="Arial" w:hAnsi="Arial"/>
          <w:sz w:val="22"/>
          <w:szCs w:val="22"/>
        </w:rPr>
        <w:t xml:space="preserve">Run evaluation (4 conditions x 100 episodes)</w:t>
      </w:r>
    </w:p>
    <w:p>
      <w:pPr>
        <w:pStyle w:val="ListParagraph"/>
        <w:numPr>
          <w:ilvl w:val="0"/>
          <w:numId w:val="3"/>
        </w:numPr>
        <w:spacing w:after="80"/>
      </w:pPr>
      <w:r>
        <w:rPr>
          <w:rFonts w:ascii="Arial" w:cs="Arial" w:eastAsia="Arial" w:hAnsi="Arial"/>
          <w:sz w:val="22"/>
          <w:szCs w:val="22"/>
        </w:rPr>
        <w:t xml:space="preserve">Run maze metrics extraction</w:t>
      </w:r>
    </w:p>
    <w:p>
      <w:pPr>
        <w:pStyle w:val="ListParagraph"/>
        <w:numPr>
          <w:ilvl w:val="0"/>
          <w:numId w:val="3"/>
        </w:numPr>
        <w:spacing w:after="80"/>
      </w:pPr>
      <w:r>
        <w:rPr>
          <w:rFonts w:ascii="Arial" w:cs="Arial" w:eastAsia="Arial" w:hAnsi="Arial"/>
          <w:sz w:val="22"/>
          <w:szCs w:val="22"/>
        </w:rPr>
        <w:t xml:space="preserve">Run statistical analysis</w:t>
      </w:r>
    </w:p>
    <w:p>
      <w:pPr>
        <w:pStyle w:val="ListParagraph"/>
        <w:numPr>
          <w:ilvl w:val="0"/>
          <w:numId w:val="3"/>
        </w:numPr>
        <w:spacing w:after="80"/>
      </w:pPr>
      <w:r>
        <w:rPr>
          <w:rFonts w:ascii="Arial" w:cs="Arial" w:eastAsia="Arial" w:hAnsi="Arial"/>
          <w:sz w:val="22"/>
          <w:szCs w:val="22"/>
        </w:rPr>
        <w:t xml:space="preserve">Generate HTML results visualization</w:t>
      </w:r>
    </w:p>
    <w:p>
      <w:pPr>
        <w:spacing w:after="60"/>
      </w:pPr>
    </w:p>
    <w:p>
      <w:pPr>
        <w:spacing w:after="120"/>
      </w:pPr>
      <w:r>
        <w:rPr>
          <w:rFonts w:ascii="Arial" w:cs="Arial" w:eastAsia="Arial" w:hAnsi="Arial"/>
          <w:b/>
          <w:bCs/>
          <w:sz w:val="22"/>
          <w:szCs w:val="22"/>
        </w:rPr>
        <w:t xml:space="preserve">Expected outcome: </w:t>
      </w:r>
      <w:r>
        <w:rPr>
          <w:rFonts w:ascii="Arial" w:cs="Arial" w:eastAsia="Arial" w:hAnsi="Arial"/>
          <w:sz w:val="22"/>
          <w:szCs w:val="22"/>
        </w:rPr>
        <w:t xml:space="preserve">Same null result as PPO and A2C, which STRENGTHENS our conclusion by showing consistency across three different RL architectures (value-based, actor-critic, policy gradient).</w:t>
      </w:r>
    </w:p>
    <w:p>
      <w:pPr>
        <w:pStyle w:val="Heading2"/>
        <w:spacing w:after="120" w:before="240"/>
      </w:pPr>
      <w:r>
        <w:rPr>
          <w:rFonts w:ascii="Arial" w:cs="Arial" w:eastAsia="Arial" w:hAnsi="Arial"/>
          <w:b/>
          <w:bCs/>
          <w:color w:val="2E5090"/>
          <w:sz w:val="26"/>
          <w:szCs w:val="26"/>
        </w:rPr>
        <w:t xml:space="preserve">Task 2: Generate DQN Results Visualization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sz w:val="20"/>
                <w:szCs w:val="20"/>
              </w:rPr>
              <w:t xml:space="preserve">Who:</w:t>
            </w:r>
          </w:p>
        </w:tc>
        <w:tc>
          <w:tcPr>
            <w:tcW w:type="dxa" w:w="73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[assign]</w:t>
            </w:r>
          </w:p>
        </w:tc>
      </w:tr>
      <w:tr>
        <w:tc>
          <w:tcPr>
            <w:tcW w:type="dxa" w:w="2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sz w:val="20"/>
                <w:szCs w:val="20"/>
              </w:rPr>
              <w:t xml:space="preserve">Deadline:</w:t>
            </w:r>
          </w:p>
        </w:tc>
        <w:tc>
          <w:tcPr>
            <w:tcW w:type="dxa" w:w="73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After DQN training completes</w:t>
            </w:r>
          </w:p>
        </w:tc>
      </w:tr>
    </w:tbl>
    <w:p>
      <w:pPr>
        <w:spacing w:after="60"/>
      </w:pPr>
    </w:p>
    <w:p>
      <w:pPr>
        <w:spacing w:after="120"/>
      </w:pPr>
      <w:r>
        <w:rPr>
          <w:rFonts w:ascii="Arial" w:cs="Arial" w:eastAsia="Arial" w:hAnsi="Arial"/>
          <w:sz w:val="22"/>
          <w:szCs w:val="22"/>
        </w:rPr>
        <w:t xml:space="preserve">Same format as our PPO and A2C HTML pages.</w:t>
      </w:r>
    </w:p>
    <w:p>
      <w:pPr>
        <w:pStyle w:val="Heading2"/>
        <w:spacing w:after="120" w:before="240"/>
      </w:pPr>
      <w:r>
        <w:rPr>
          <w:rFonts w:ascii="Arial" w:cs="Arial" w:eastAsia="Arial" w:hAnsi="Arial"/>
          <w:b/>
          <w:bCs/>
          <w:color w:val="2E5090"/>
          <w:sz w:val="26"/>
          <w:szCs w:val="26"/>
        </w:rPr>
        <w:t xml:space="preserve">Task 3: Write Chapter 4 Discussion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Who:</w:t>
            </w:r>
          </w:p>
        </w:tc>
        <w:tc>
          <w:tcPr>
            <w:tcW w:type="dxa" w:w="7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[assign — ideally all three collaborate]</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Deadline:</w:t>
            </w:r>
          </w:p>
        </w:tc>
        <w:tc>
          <w:tcPr>
            <w:tcW w:type="dxa" w:w="7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Before defense</w:t>
            </w:r>
          </w:p>
        </w:tc>
      </w:tr>
    </w:tbl>
    <w:p>
      <w:pPr>
        <w:spacing w:after="60"/>
      </w:pPr>
    </w:p>
    <w:p>
      <w:pPr>
        <w:spacing w:after="120"/>
      </w:pPr>
      <w:r>
        <w:rPr>
          <w:rFonts w:ascii="Arial" w:cs="Arial" w:eastAsia="Arial" w:hAnsi="Arial"/>
          <w:b/>
          <w:bCs/>
          <w:sz w:val="22"/>
          <w:szCs w:val="22"/>
        </w:rPr>
        <w:t xml:space="preserve">The discussion should cover:</w:t>
      </w:r>
    </w:p>
    <w:p>
      <w:pPr>
        <w:spacing w:after="60"/>
      </w:pPr>
    </w:p>
    <w:p>
      <w:pPr>
        <w:pStyle w:val="ListParagraph"/>
        <w:numPr>
          <w:ilvl w:val="0"/>
          <w:numId w:val="4"/>
        </w:numPr>
        <w:spacing w:after="80"/>
      </w:pPr>
      <w:r>
        <w:rPr>
          <w:rFonts w:ascii="Arial" w:cs="Arial" w:eastAsia="Arial" w:hAnsi="Arial"/>
          <w:b/>
          <w:bCs/>
          <w:sz w:val="22"/>
          <w:szCs w:val="22"/>
        </w:rPr>
        <w:t xml:space="preserve">Summary of findings</w:t>
      </w:r>
      <w:r>
        <w:rPr>
          <w:rFonts w:ascii="Arial" w:cs="Arial" w:eastAsia="Arial" w:hAnsi="Arial"/>
          <w:sz w:val="22"/>
          <w:szCs w:val="22"/>
        </w:rPr>
        <w:t xml:space="preserve"> — All three algorithms show no significant difference. 0/9 structural metrics differ. Agents perform comparably regardless of seed source.</w:t>
      </w:r>
    </w:p>
    <w:p>
      <w:pPr>
        <w:pStyle w:val="ListParagraph"/>
        <w:numPr>
          <w:ilvl w:val="0"/>
          <w:numId w:val="4"/>
        </w:numPr>
        <w:spacing w:after="80"/>
      </w:pPr>
      <w:r>
        <w:rPr>
          <w:rFonts w:ascii="Arial" w:cs="Arial" w:eastAsia="Arial" w:hAnsi="Arial"/>
          <w:b/>
          <w:bCs/>
          <w:sz w:val="22"/>
          <w:szCs w:val="22"/>
        </w:rPr>
        <w:t xml:space="preserve">The Mersenne Twister bottleneck explanation</w:t>
      </w:r>
      <w:r>
        <w:rPr>
          <w:rFonts w:ascii="Arial" w:cs="Arial" w:eastAsia="Arial" w:hAnsi="Arial"/>
          <w:sz w:val="22"/>
          <w:szCs w:val="22"/>
        </w:rPr>
        <w:t xml:space="preserve"> — Explain that random.seed() channels all entropy through the same PRNG engine, erasing any distinction between PRNG and QRNG seeds. Cite MT’s properties.</w:t>
      </w:r>
    </w:p>
    <w:p>
      <w:pPr>
        <w:pStyle w:val="ListParagraph"/>
        <w:numPr>
          <w:ilvl w:val="0"/>
          <w:numId w:val="4"/>
        </w:numPr>
        <w:spacing w:after="80"/>
      </w:pPr>
      <w:r>
        <w:rPr>
          <w:rFonts w:ascii="Arial" w:cs="Arial" w:eastAsia="Arial" w:hAnsi="Arial"/>
          <w:b/>
          <w:bCs/>
          <w:sz w:val="22"/>
          <w:szCs w:val="22"/>
        </w:rPr>
        <w:t xml:space="preserve">The algorithmic constraint argument</w:t>
      </w:r>
      <w:r>
        <w:rPr>
          <w:rFonts w:ascii="Arial" w:cs="Arial" w:eastAsia="Arial" w:hAnsi="Arial"/>
          <w:sz w:val="22"/>
          <w:szCs w:val="22"/>
        </w:rPr>
        <w:t xml:space="preserve"> — Recursive backtracking on a 20x20 grid produces a highly constrained output space.</w:t>
      </w:r>
    </w:p>
    <w:p>
      <w:pPr>
        <w:pStyle w:val="ListParagraph"/>
        <w:numPr>
          <w:ilvl w:val="0"/>
          <w:numId w:val="4"/>
        </w:numPr>
        <w:spacing w:after="80"/>
      </w:pPr>
      <w:r>
        <w:rPr>
          <w:rFonts w:ascii="Arial" w:cs="Arial" w:eastAsia="Arial" w:hAnsi="Arial"/>
          <w:b/>
          <w:bCs/>
          <w:sz w:val="22"/>
          <w:szCs w:val="22"/>
        </w:rPr>
        <w:t xml:space="preserve">What this means for our research questions:</w:t>
      </w:r>
    </w:p>
    <w:p>
      <w:pPr>
        <w:pStyle w:val="ListParagraph"/>
        <w:numPr>
          <w:ilvl w:val="1"/>
          <w:numId w:val="2"/>
        </w:numPr>
        <w:spacing w:after="80"/>
      </w:pPr>
      <w:r>
        <w:rPr>
          <w:rFonts w:ascii="Arial" w:cs="Arial" w:eastAsia="Arial" w:hAnsi="Arial"/>
          <w:b/>
          <w:bCs/>
          <w:sz w:val="22"/>
          <w:szCs w:val="22"/>
        </w:rPr>
        <w:t xml:space="preserve">RQ1: </w:t>
      </w:r>
      <w:r>
        <w:rPr>
          <w:rFonts w:ascii="Arial" w:cs="Arial" w:eastAsia="Arial" w:hAnsi="Arial"/>
          <w:sz w:val="22"/>
          <w:szCs w:val="22"/>
        </w:rPr>
        <w:t xml:space="preserve">PRNG and QRNG seeds produce statistically identical maze structures. The generation algorithm acts as an information bottleneck.</w:t>
      </w:r>
    </w:p>
    <w:p>
      <w:pPr>
        <w:pStyle w:val="ListParagraph"/>
        <w:numPr>
          <w:ilvl w:val="1"/>
          <w:numId w:val="2"/>
        </w:numPr>
        <w:spacing w:after="80"/>
      </w:pPr>
      <w:r>
        <w:rPr>
          <w:rFonts w:ascii="Arial" w:cs="Arial" w:eastAsia="Arial" w:hAnsi="Arial"/>
          <w:b/>
          <w:bCs/>
          <w:sz w:val="22"/>
          <w:szCs w:val="22"/>
        </w:rPr>
        <w:t xml:space="preserve">RQ2: </w:t>
      </w:r>
      <w:r>
        <w:rPr>
          <w:rFonts w:ascii="Arial" w:cs="Arial" w:eastAsia="Arial" w:hAnsi="Arial"/>
          <w:sz w:val="22"/>
          <w:szCs w:val="22"/>
        </w:rPr>
        <w:t xml:space="preserve">The source of randomness does not significantly affect learning rate across all three DRL architectures.</w:t>
      </w:r>
    </w:p>
    <w:p>
      <w:pPr>
        <w:pStyle w:val="ListParagraph"/>
        <w:numPr>
          <w:ilvl w:val="1"/>
          <w:numId w:val="2"/>
        </w:numPr>
        <w:spacing w:after="80"/>
      </w:pPr>
      <w:r>
        <w:rPr>
          <w:rFonts w:ascii="Arial" w:cs="Arial" w:eastAsia="Arial" w:hAnsi="Arial"/>
          <w:b/>
          <w:bCs/>
          <w:sz w:val="22"/>
          <w:szCs w:val="22"/>
        </w:rPr>
        <w:t xml:space="preserve">RQ3: </w:t>
      </w:r>
      <w:r>
        <w:rPr>
          <w:rFonts w:ascii="Arial" w:cs="Arial" w:eastAsia="Arial" w:hAnsi="Arial"/>
          <w:sz w:val="22"/>
          <w:szCs w:val="22"/>
        </w:rPr>
        <w:t xml:space="preserve">QRNG-trained agents do not outperform PRNG-trained agents on unseen mazes.</w:t>
      </w:r>
    </w:p>
    <w:p>
      <w:pPr>
        <w:pStyle w:val="ListParagraph"/>
        <w:numPr>
          <w:ilvl w:val="0"/>
          <w:numId w:val="4"/>
        </w:numPr>
        <w:spacing w:after="80"/>
      </w:pPr>
      <w:r>
        <w:rPr>
          <w:rFonts w:ascii="Arial" w:cs="Arial" w:eastAsia="Arial" w:hAnsi="Arial"/>
          <w:b/>
          <w:bCs/>
          <w:sz w:val="22"/>
          <w:szCs w:val="22"/>
        </w:rPr>
        <w:t xml:space="preserve">Implications:</w:t>
      </w:r>
    </w:p>
    <w:p>
      <w:pPr>
        <w:pStyle w:val="ListParagraph"/>
        <w:numPr>
          <w:ilvl w:val="1"/>
          <w:numId w:val="2"/>
        </w:numPr>
        <w:spacing w:after="80"/>
      </w:pPr>
      <w:r>
        <w:rPr>
          <w:rFonts w:ascii="Arial" w:cs="Arial" w:eastAsia="Arial" w:hAnsi="Arial"/>
          <w:b/>
          <w:bCs/>
          <w:sz w:val="22"/>
          <w:szCs w:val="22"/>
        </w:rPr>
        <w:t xml:space="preserve">For procedural generation: </w:t>
      </w:r>
      <w:r>
        <w:rPr>
          <w:rFonts w:ascii="Arial" w:cs="Arial" w:eastAsia="Arial" w:hAnsi="Arial"/>
          <w:sz w:val="22"/>
          <w:szCs w:val="22"/>
        </w:rPr>
        <w:t xml:space="preserve">PRNG (Mersenne Twister) is sufficient. QRNG provides no measurable structural diversity benefit.</w:t>
      </w:r>
    </w:p>
    <w:p>
      <w:pPr>
        <w:pStyle w:val="ListParagraph"/>
        <w:numPr>
          <w:ilvl w:val="1"/>
          <w:numId w:val="2"/>
        </w:numPr>
        <w:spacing w:after="80"/>
      </w:pPr>
      <w:r>
        <w:rPr>
          <w:rFonts w:ascii="Arial" w:cs="Arial" w:eastAsia="Arial" w:hAnsi="Arial"/>
          <w:b/>
          <w:bCs/>
          <w:sz w:val="22"/>
          <w:szCs w:val="22"/>
        </w:rPr>
        <w:t xml:space="preserve">For RL training: </w:t>
      </w:r>
      <w:r>
        <w:rPr>
          <w:rFonts w:ascii="Arial" w:cs="Arial" w:eastAsia="Arial" w:hAnsi="Arial"/>
          <w:sz w:val="22"/>
          <w:szCs w:val="22"/>
        </w:rPr>
        <w:t xml:space="preserve">Agent generalization depends more on algorithm choice (PPO &gt; A2C) and training diversity than on entropy source.</w:t>
      </w:r>
    </w:p>
    <w:p>
      <w:pPr>
        <w:pStyle w:val="ListParagraph"/>
        <w:numPr>
          <w:ilvl w:val="1"/>
          <w:numId w:val="2"/>
        </w:numPr>
        <w:spacing w:after="80"/>
      </w:pPr>
      <w:r>
        <w:rPr>
          <w:rFonts w:ascii="Arial" w:cs="Arial" w:eastAsia="Arial" w:hAnsi="Arial"/>
          <w:b/>
          <w:bCs/>
          <w:sz w:val="22"/>
          <w:szCs w:val="22"/>
        </w:rPr>
        <w:t xml:space="preserve">For quantum computing: </w:t>
      </w:r>
      <w:r>
        <w:rPr>
          <w:rFonts w:ascii="Arial" w:cs="Arial" w:eastAsia="Arial" w:hAnsi="Arial"/>
          <w:sz w:val="22"/>
          <w:szCs w:val="22"/>
        </w:rPr>
        <w:t xml:space="preserve">QRNG’s value lies in contexts requiring unpredictability (cryptography), not uniformity (PCG).</w:t>
      </w:r>
    </w:p>
    <w:p>
      <w:pPr>
        <w:pStyle w:val="ListParagraph"/>
        <w:numPr>
          <w:ilvl w:val="0"/>
          <w:numId w:val="4"/>
        </w:numPr>
        <w:spacing w:after="80"/>
      </w:pPr>
      <w:r>
        <w:rPr>
          <w:rFonts w:ascii="Arial" w:cs="Arial" w:eastAsia="Arial" w:hAnsi="Arial"/>
          <w:b/>
          <w:bCs/>
          <w:sz w:val="22"/>
          <w:szCs w:val="22"/>
        </w:rPr>
        <w:t xml:space="preserve">Limitations and future work:</w:t>
      </w:r>
    </w:p>
    <w:p>
      <w:pPr>
        <w:pStyle w:val="ListParagraph"/>
        <w:numPr>
          <w:ilvl w:val="1"/>
          <w:numId w:val="2"/>
        </w:numPr>
        <w:spacing w:after="80"/>
      </w:pPr>
      <w:r>
        <w:rPr>
          <w:rFonts w:ascii="Arial" w:cs="Arial" w:eastAsia="Arial" w:hAnsi="Arial"/>
          <w:sz w:val="22"/>
          <w:szCs w:val="22"/>
        </w:rPr>
        <w:t xml:space="preserve">Bypass MT entirely, using raw quantum random bits at each algorithmic decision point</w:t>
      </w:r>
    </w:p>
    <w:p>
      <w:pPr>
        <w:pStyle w:val="ListParagraph"/>
        <w:numPr>
          <w:ilvl w:val="1"/>
          <w:numId w:val="2"/>
        </w:numPr>
        <w:spacing w:after="80"/>
      </w:pPr>
      <w:r>
        <w:rPr>
          <w:rFonts w:ascii="Arial" w:cs="Arial" w:eastAsia="Arial" w:hAnsi="Arial"/>
          <w:sz w:val="22"/>
          <w:szCs w:val="22"/>
        </w:rPr>
        <w:t xml:space="preserve">Test more complex generators (Wave Function Collapse, constraint-based PCG)</w:t>
      </w:r>
    </w:p>
    <w:p>
      <w:pPr>
        <w:pStyle w:val="ListParagraph"/>
        <w:numPr>
          <w:ilvl w:val="1"/>
          <w:numId w:val="2"/>
        </w:numPr>
        <w:spacing w:after="80"/>
      </w:pPr>
      <w:r>
        <w:rPr>
          <w:rFonts w:ascii="Arial" w:cs="Arial" w:eastAsia="Arial" w:hAnsi="Arial"/>
          <w:sz w:val="22"/>
          <w:szCs w:val="22"/>
        </w:rPr>
        <w:t xml:space="preserve">Variable maze sizes or 3D environments to expand the output space</w:t>
      </w:r>
    </w:p>
    <w:p>
      <w:pPr>
        <w:pStyle w:val="ListParagraph"/>
        <w:numPr>
          <w:ilvl w:val="1"/>
          <w:numId w:val="2"/>
        </w:numPr>
        <w:spacing w:after="80"/>
      </w:pPr>
      <w:r>
        <w:rPr>
          <w:rFonts w:ascii="Arial" w:cs="Arial" w:eastAsia="Arial" w:hAnsi="Arial"/>
          <w:sz w:val="22"/>
          <w:szCs w:val="22"/>
        </w:rPr>
        <w:t xml:space="preserve">Control for seed indexing strategy (144 vs ~3,000 unique mazes seen during training)</w:t>
      </w:r>
    </w:p>
    <w:p>
      <w:pPr>
        <w:pStyle w:val="Heading2"/>
        <w:spacing w:after="120" w:before="240"/>
      </w:pPr>
      <w:r>
        <w:rPr>
          <w:rFonts w:ascii="Arial" w:cs="Arial" w:eastAsia="Arial" w:hAnsi="Arial"/>
          <w:b/>
          <w:bCs/>
          <w:color w:val="2E5090"/>
          <w:sz w:val="26"/>
          <w:szCs w:val="26"/>
        </w:rPr>
        <w:t xml:space="preserve">Task 4: Create Combined Results Dashboard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Who:</w:t>
            </w:r>
          </w:p>
        </w:tc>
        <w:tc>
          <w:tcPr>
            <w:tcW w:type="dxa" w:w="7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sz w:val="20"/>
                <w:szCs w:val="20"/>
              </w:rPr>
              <w:t xml:space="preserve">[assign]</w:t>
            </w:r>
          </w:p>
        </w:tc>
      </w:tr>
    </w:tbl>
    <w:p>
      <w:pPr>
        <w:spacing w:after="60"/>
      </w:pPr>
    </w:p>
    <w:p>
      <w:pPr>
        <w:spacing w:after="120"/>
      </w:pPr>
      <w:r>
        <w:rPr>
          <w:rFonts w:ascii="Arial" w:cs="Arial" w:eastAsia="Arial" w:hAnsi="Arial"/>
          <w:sz w:val="22"/>
          <w:szCs w:val="22"/>
        </w:rPr>
        <w:t xml:space="preserve">A single HTML page showing PPO vs A2C vs DQN side-by-side, making the “consistent null result across architectures” argument visually obvious.</w:t>
      </w:r>
    </w:p>
    <w:p>
      <w:pPr>
        <w:pStyle w:val="Heading2"/>
        <w:spacing w:after="120" w:before="240"/>
      </w:pPr>
      <w:r>
        <w:rPr>
          <w:rFonts w:ascii="Arial" w:cs="Arial" w:eastAsia="Arial" w:hAnsi="Arial"/>
          <w:b/>
          <w:bCs/>
          <w:color w:val="2E5090"/>
          <w:sz w:val="26"/>
          <w:szCs w:val="26"/>
        </w:rPr>
        <w:t xml:space="preserve">Task 5: Prepare Defense Slides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E6FF" w:val="clear"/>
            <w:tcMar>
              <w:top w:type="dxa" w:w="80"/>
              <w:left w:type="dxa" w:w="120"/>
              <w:bottom w:type="dxa" w:w="80"/>
              <w:right w:type="dxa" w:w="120"/>
            </w:tcMar>
          </w:tcPr>
          <w:p>
            <w:r>
              <w:rPr>
                <w:rFonts w:ascii="Arial" w:cs="Arial" w:eastAsia="Arial" w:hAnsi="Arial"/>
                <w:b/>
                <w:bCs/>
                <w:sz w:val="20"/>
                <w:szCs w:val="20"/>
              </w:rPr>
              <w:t xml:space="preserve">Who:</w:t>
            </w:r>
          </w:p>
        </w:tc>
        <w:tc>
          <w:tcPr>
            <w:tcW w:type="dxa" w:w="7360"/>
            <w:tcBorders>
              <w:top w:val="single" w:color="CCCCCC" w:sz="1"/>
              <w:left w:val="single" w:color="CCCCCC" w:sz="1"/>
              <w:bottom w:val="single" w:color="CCCCCC" w:sz="1"/>
              <w:right w:val="single" w:color="CCCCCC" w:sz="1"/>
            </w:tcBorders>
            <w:shd w:fill="F0E6FF" w:val="clear"/>
            <w:tcMar>
              <w:top w:type="dxa" w:w="80"/>
              <w:left w:type="dxa" w:w="120"/>
              <w:bottom w:type="dxa" w:w="80"/>
              <w:right w:type="dxa" w:w="120"/>
            </w:tcMar>
          </w:tcPr>
          <w:p>
            <w:r>
              <w:rPr>
                <w:rFonts w:ascii="Arial" w:cs="Arial" w:eastAsia="Arial" w:hAnsi="Arial"/>
                <w:b/>
                <w:bCs/>
                <w:sz w:val="20"/>
                <w:szCs w:val="20"/>
              </w:rPr>
              <w:t xml:space="preserve">All three</w:t>
            </w:r>
          </w:p>
        </w:tc>
      </w:tr>
    </w:tbl>
    <w:p>
      <w:pPr>
        <w:spacing w:after="60"/>
      </w:pPr>
    </w:p>
    <w:p>
      <w:pPr>
        <w:spacing w:after="120"/>
      </w:pPr>
      <w:r>
        <w:rPr>
          <w:rFonts w:ascii="Arial" w:cs="Arial" w:eastAsia="Arial" w:hAnsi="Arial"/>
          <w:sz w:val="22"/>
          <w:szCs w:val="22"/>
        </w:rPr>
        <w:t xml:space="preserve">Key slides:</w:t>
      </w:r>
    </w:p>
    <w:p>
      <w:pPr>
        <w:pStyle w:val="ListParagraph"/>
        <w:numPr>
          <w:ilvl w:val="0"/>
          <w:numId w:val="5"/>
        </w:numPr>
        <w:spacing w:after="80"/>
      </w:pPr>
      <w:r>
        <w:rPr>
          <w:rFonts w:ascii="Arial" w:cs="Arial" w:eastAsia="Arial" w:hAnsi="Arial"/>
          <w:sz w:val="22"/>
          <w:szCs w:val="22"/>
        </w:rPr>
        <w:t xml:space="preserve">Research questions and hypotheses</w:t>
      </w:r>
    </w:p>
    <w:p>
      <w:pPr>
        <w:pStyle w:val="ListParagraph"/>
        <w:numPr>
          <w:ilvl w:val="0"/>
          <w:numId w:val="5"/>
        </w:numPr>
        <w:spacing w:after="80"/>
      </w:pPr>
      <w:r>
        <w:rPr>
          <w:rFonts w:ascii="Arial" w:cs="Arial" w:eastAsia="Arial" w:hAnsi="Arial"/>
          <w:sz w:val="22"/>
          <w:szCs w:val="22"/>
        </w:rPr>
        <w:t xml:space="preserve">Methodology (quick overview)</w:t>
      </w:r>
    </w:p>
    <w:p>
      <w:pPr>
        <w:pStyle w:val="ListParagraph"/>
        <w:numPr>
          <w:ilvl w:val="0"/>
          <w:numId w:val="5"/>
        </w:numPr>
        <w:spacing w:after="80"/>
      </w:pPr>
      <w:r>
        <w:rPr>
          <w:rFonts w:ascii="Arial" w:cs="Arial" w:eastAsia="Arial" w:hAnsi="Arial"/>
          <w:sz w:val="22"/>
          <w:szCs w:val="22"/>
        </w:rPr>
        <w:t xml:space="preserve">Results summary (the consistent null result across all algorithms)</w:t>
      </w:r>
    </w:p>
    <w:p>
      <w:pPr>
        <w:pStyle w:val="ListParagraph"/>
        <w:numPr>
          <w:ilvl w:val="0"/>
          <w:numId w:val="5"/>
        </w:numPr>
        <w:spacing w:after="80"/>
      </w:pPr>
      <w:r>
        <w:rPr>
          <w:rFonts w:ascii="Arial" w:cs="Arial" w:eastAsia="Arial" w:hAnsi="Arial"/>
          <w:b/>
          <w:bCs/>
          <w:sz w:val="22"/>
          <w:szCs w:val="22"/>
        </w:rPr>
        <w:t xml:space="preserve">WHY there’s no difference</w:t>
      </w:r>
      <w:r>
        <w:rPr>
          <w:rFonts w:ascii="Arial" w:cs="Arial" w:eastAsia="Arial" w:hAnsi="Arial"/>
          <w:sz w:val="22"/>
          <w:szCs w:val="22"/>
        </w:rPr>
        <w:t xml:space="preserve"> (the bottleneck diagram — this is the slide that will impress the panel)</w:t>
      </w:r>
    </w:p>
    <w:p>
      <w:pPr>
        <w:pStyle w:val="ListParagraph"/>
        <w:numPr>
          <w:ilvl w:val="0"/>
          <w:numId w:val="5"/>
        </w:numPr>
        <w:spacing w:after="80"/>
      </w:pPr>
      <w:r>
        <w:rPr>
          <w:rFonts w:ascii="Arial" w:cs="Arial" w:eastAsia="Arial" w:hAnsi="Arial"/>
          <w:sz w:val="22"/>
          <w:szCs w:val="22"/>
        </w:rPr>
        <w:t xml:space="preserve">What this means (PRNG is sufficient, QRNG advantage doesn’t transfer to PCG)</w:t>
      </w:r>
    </w:p>
    <w:p>
      <w:pPr>
        <w:pStyle w:val="ListParagraph"/>
        <w:numPr>
          <w:ilvl w:val="0"/>
          <w:numId w:val="5"/>
        </w:numPr>
        <w:spacing w:after="80"/>
      </w:pPr>
      <w:r>
        <w:rPr>
          <w:rFonts w:ascii="Arial" w:cs="Arial" w:eastAsia="Arial" w:hAnsi="Arial"/>
          <w:sz w:val="22"/>
          <w:szCs w:val="22"/>
        </w:rPr>
        <w:t xml:space="preserve">Future work directions</w:t>
      </w:r>
    </w:p>
    <w:p>
      <w:r>
        <w:br w:type="page"/>
      </w:r>
    </w:p>
    <w:p>
      <w:pPr>
        <w:pStyle w:val="Heading1"/>
        <w:spacing w:after="120" w:before="360"/>
      </w:pPr>
      <w:r>
        <w:rPr>
          <w:rFonts w:ascii="Arial" w:cs="Arial" w:eastAsia="Arial" w:hAnsi="Arial"/>
          <w:b/>
          <w:bCs/>
          <w:color w:val="1B2A4A"/>
          <w:sz w:val="32"/>
          <w:szCs w:val="32"/>
        </w:rPr>
        <w:t xml:space="preserve">How to Handle Panel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after="80"/>
            </w:pPr>
            <w:r>
              <w:rPr>
                <w:rFonts w:ascii="Arial" w:cs="Arial" w:eastAsia="Arial" w:hAnsi="Arial"/>
                <w:b/>
                <w:bCs/>
                <w:sz w:val="22"/>
                <w:szCs w:val="22"/>
              </w:rPr>
              <w:t xml:space="preserve">“Why is there no difference?”</w:t>
            </w:r>
          </w:p>
          <w:p>
            <w:r>
              <w:rPr>
                <w:rFonts w:ascii="Arial" w:cs="Arial" w:eastAsia="Arial" w:hAnsi="Arial"/>
                <w:color w:val="2E5090"/>
                <w:sz w:val="22"/>
                <w:szCs w:val="22"/>
              </w:rPr>
              <w:t xml:space="preserve">→ </w:t>
            </w:r>
            <w:r>
              <w:rPr>
                <w:rFonts w:ascii="Arial" w:cs="Arial" w:eastAsia="Arial" w:hAnsi="Arial"/>
                <w:sz w:val="20"/>
                <w:szCs w:val="20"/>
              </w:rPr>
              <w:t xml:space="preserve">The Mersenne Twister bottleneck. Both seed types go through the same PRNG engine. MT is already statistically indistinguishable from true randomness for this application.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after="80"/>
            </w:pPr>
            <w:r>
              <w:rPr>
                <w:rFonts w:ascii="Arial" w:cs="Arial" w:eastAsia="Arial" w:hAnsi="Arial"/>
                <w:b/>
                <w:bCs/>
                <w:sz w:val="22"/>
                <w:szCs w:val="22"/>
              </w:rPr>
              <w:t xml:space="preserve">“Doesn’t this mean your experiment failed?”</w:t>
            </w:r>
          </w:p>
          <w:p>
            <w:r>
              <w:rPr>
                <w:rFonts w:ascii="Arial" w:cs="Arial" w:eastAsia="Arial" w:hAnsi="Arial"/>
                <w:color w:val="2E5090"/>
                <w:sz w:val="22"/>
                <w:szCs w:val="22"/>
              </w:rPr>
              <w:t xml:space="preserve">→ </w:t>
            </w:r>
            <w:r>
              <w:rPr>
                <w:rFonts w:ascii="Arial" w:cs="Arial" w:eastAsia="Arial" w:hAnsi="Arial"/>
                <w:sz w:val="20"/>
                <w:szCs w:val="20"/>
              </w:rPr>
              <w:t xml:space="preserve">No. The experiment successfully answered the research questions. A null result with strong statistical evidence (76,800+ mazes, 9 metrics, 3 algorithms) is a legitimate scientific contribution. We proved that quantum randomness does not provide measurable benefits for DFS-based procedural maze generation.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after="80"/>
            </w:pPr>
            <w:r>
              <w:rPr>
                <w:rFonts w:ascii="Arial" w:cs="Arial" w:eastAsia="Arial" w:hAnsi="Arial"/>
                <w:b/>
                <w:bCs/>
                <w:sz w:val="22"/>
                <w:szCs w:val="22"/>
              </w:rPr>
              <w:t xml:space="preserve">“What would you do differently?”</w:t>
            </w:r>
          </w:p>
          <w:p>
            <w:r>
              <w:rPr>
                <w:rFonts w:ascii="Arial" w:cs="Arial" w:eastAsia="Arial" w:hAnsi="Arial"/>
                <w:color w:val="2E5090"/>
                <w:sz w:val="22"/>
                <w:szCs w:val="22"/>
              </w:rPr>
              <w:t xml:space="preserve">→ </w:t>
            </w:r>
            <w:r>
              <w:rPr>
                <w:rFonts w:ascii="Arial" w:cs="Arial" w:eastAsia="Arial" w:hAnsi="Arial"/>
                <w:sz w:val="20"/>
                <w:szCs w:val="20"/>
              </w:rPr>
              <w:t xml:space="preserve">Bypass the Mersenne Twister engine entirely and use raw QRNG bits for each random decision. Use a generation algorithm with less structural constraint and higher entropy sensitivity.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after="80"/>
            </w:pPr>
            <w:r>
              <w:rPr>
                <w:rFonts w:ascii="Arial" w:cs="Arial" w:eastAsia="Arial" w:hAnsi="Arial"/>
                <w:b/>
                <w:bCs/>
                <w:sz w:val="22"/>
                <w:szCs w:val="22"/>
              </w:rPr>
              <w:t xml:space="preserve">“Is this still novel?”</w:t>
            </w:r>
          </w:p>
          <w:p>
            <w:r>
              <w:rPr>
                <w:rFonts w:ascii="Arial" w:cs="Arial" w:eastAsia="Arial" w:hAnsi="Arial"/>
                <w:color w:val="2E5090"/>
                <w:sz w:val="22"/>
                <w:szCs w:val="22"/>
              </w:rPr>
              <w:t xml:space="preserve">→ </w:t>
            </w:r>
            <w:r>
              <w:rPr>
                <w:rFonts w:ascii="Arial" w:cs="Arial" w:eastAsia="Arial" w:hAnsi="Arial"/>
                <w:sz w:val="20"/>
                <w:szCs w:val="20"/>
              </w:rPr>
              <w:t xml:space="preserve">Yes. No prior study has empirically benchmarked QRNG vs PRNG for procedural generation. We are the first to provide quantitative evidence that the theoretical advantages of quantum randomness do not transfer to this domain.</w:t>
            </w:r>
          </w:p>
        </w:tc>
      </w:tr>
    </w:tbl>
    <w:p>
      <w:pPr>
        <w:pBdr>
          <w:bottom w:val="single" w:color="CCCCCC" w:sz="6" w:space="1"/>
        </w:pBdr>
        <w:spacing w:after="200" w:before="200"/>
      </w:pPr>
    </w:p>
    <w:p>
      <w:pPr>
        <w:pStyle w:val="Heading1"/>
        <w:spacing w:after="120" w:before="360"/>
      </w:pPr>
      <w:r>
        <w:rPr>
          <w:rFonts w:ascii="Arial" w:cs="Arial" w:eastAsia="Arial" w:hAnsi="Arial"/>
          <w:b/>
          <w:bCs/>
          <w:color w:val="1B2A4A"/>
          <w:sz w:val="32"/>
          <w:szCs w:val="32"/>
        </w:rPr>
        <w:t xml:space="preserve">Priority Order</w:t>
      </w:r>
    </w:p>
    <w:p>
      <w:pPr>
        <w:pStyle w:val="ListParagraph"/>
        <w:numPr>
          <w:ilvl w:val="0"/>
          <w:numId w:val="6"/>
        </w:numPr>
        <w:spacing w:after="80"/>
      </w:pPr>
      <w:r>
        <w:rPr>
          <w:rFonts w:ascii="Arial" w:cs="Arial" w:eastAsia="Arial" w:hAnsi="Arial"/>
          <w:b/>
          <w:bCs/>
          <w:sz w:val="22"/>
          <w:szCs w:val="22"/>
        </w:rPr>
        <w:t xml:space="preserve">DQN training</w:t>
      </w:r>
      <w:r>
        <w:rPr>
          <w:rFonts w:ascii="Arial" w:cs="Arial" w:eastAsia="Arial" w:hAnsi="Arial"/>
          <w:sz w:val="22"/>
          <w:szCs w:val="22"/>
        </w:rPr>
        <w:t xml:space="preserve"> (blocks everything else)</w:t>
      </w:r>
    </w:p>
    <w:p>
      <w:pPr>
        <w:pStyle w:val="ListParagraph"/>
        <w:numPr>
          <w:ilvl w:val="0"/>
          <w:numId w:val="6"/>
        </w:numPr>
        <w:spacing w:after="80"/>
      </w:pPr>
      <w:r>
        <w:rPr>
          <w:rFonts w:ascii="Arial" w:cs="Arial" w:eastAsia="Arial" w:hAnsi="Arial"/>
          <w:b/>
          <w:bCs/>
          <w:sz w:val="22"/>
          <w:szCs w:val="22"/>
        </w:rPr>
        <w:t xml:space="preserve">DQN evaluation + visualization</w:t>
      </w:r>
    </w:p>
    <w:p>
      <w:pPr>
        <w:pStyle w:val="ListParagraph"/>
        <w:numPr>
          <w:ilvl w:val="0"/>
          <w:numId w:val="6"/>
        </w:numPr>
        <w:spacing w:after="80"/>
      </w:pPr>
      <w:r>
        <w:rPr>
          <w:rFonts w:ascii="Arial" w:cs="Arial" w:eastAsia="Arial" w:hAnsi="Arial"/>
          <w:b/>
          <w:bCs/>
          <w:sz w:val="22"/>
          <w:szCs w:val="22"/>
        </w:rPr>
        <w:t xml:space="preserve">Chapter 4 discussion writing</w:t>
      </w:r>
    </w:p>
    <w:p>
      <w:pPr>
        <w:pStyle w:val="ListParagraph"/>
        <w:numPr>
          <w:ilvl w:val="0"/>
          <w:numId w:val="6"/>
        </w:numPr>
        <w:spacing w:after="80"/>
      </w:pPr>
      <w:r>
        <w:rPr>
          <w:rFonts w:ascii="Arial" w:cs="Arial" w:eastAsia="Arial" w:hAnsi="Arial"/>
          <w:b/>
          <w:bCs/>
          <w:sz w:val="22"/>
          <w:szCs w:val="22"/>
        </w:rPr>
        <w:t xml:space="preserve">Defense slides</w:t>
      </w:r>
    </w:p>
    <w:p>
      <w:pPr>
        <w:pStyle w:val="ListParagraph"/>
        <w:numPr>
          <w:ilvl w:val="0"/>
          <w:numId w:val="6"/>
        </w:numPr>
        <w:spacing w:after="80"/>
      </w:pPr>
      <w:r>
        <w:rPr>
          <w:rFonts w:ascii="Arial" w:cs="Arial" w:eastAsia="Arial" w:hAnsi="Arial"/>
          <w:b/>
          <w:bCs/>
          <w:sz w:val="22"/>
          <w:szCs w:val="22"/>
        </w:rPr>
        <w:t xml:space="preserve">Combined dashboard</w:t>
      </w:r>
      <w:r>
        <w:rPr>
          <w:rFonts w:ascii="Arial" w:cs="Arial" w:eastAsia="Arial" w:hAnsi="Arial"/>
          <w:sz w:val="22"/>
          <w:szCs w:val="22"/>
        </w:rPr>
        <w:t xml:space="preserve"> (nice to have)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space="4"/>
      </w:pBdr>
    </w:pPr>
    <w:r>
      <w:rPr>
        <w:rFonts w:ascii="Arial" w:cs="Arial" w:eastAsia="Arial" w:hAnsi="Arial"/>
        <w:color w:val="666666"/>
        <w:sz w:val="16"/>
        <w:szCs w:val="16"/>
      </w:rPr>
      <w:t xml:space="preserve">CS Thesis: PRNG vs QRNG</w:t>
    </w:r>
    <w:r>
      <w:rPr>
        <w:rFonts w:ascii="Arial" w:cs="Arial" w:eastAsia="Arial" w:hAnsi="Arial"/>
        <w:color w:val="999999"/>
        <w:sz w:val="16"/>
        <w:szCs w:val="16"/>
      </w:rPr>
      <w:t xml:space="preserve">  |  Action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2"/>
      <w:szCs w:val="32"/>
    </w:rPr>
  </w:style>
  <w:style w:type="paragraph" w:styleId="Heading2">
    <w:name w:val="Heading 2"/>
    <w:basedOn w:val="Normal"/>
    <w:next w:val="Normal"/>
    <w:qFormat/>
    <w:pPr>
      <w:spacing w:after="180" w:before="240"/>
      <w:outlineLvl w:val="1"/>
    </w:pPr>
    <w:rPr>
      <w:rFonts w:ascii="Arial" w:cs="Arial" w:eastAsia="Arial" w:hAnsi="Arial"/>
      <w:b/>
      <w:bCs/>
      <w:sz w:val="26"/>
      <w:szCs w:val="26"/>
    </w:rPr>
  </w:style>
  <w:style w:type="paragraph" w:styleId="Heading3">
    <w:name w:val="Heading 3"/>
    <w:basedOn w:val="Normal"/>
    <w:next w:val="Normal"/>
    <w:qFormat/>
    <w:pPr>
      <w:spacing w:after="12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2026-03-28T12:21:32.589Z</dcterms:created>
  <dcterms:modified xsi:type="dcterms:W3CDTF">2026-03-28T12:21:32.590Z</dcterms:modified>
</cp:coreProperties>
</file>

<file path=docProps/custom.xml><?xml version="1.0" encoding="utf-8"?>
<Properties xmlns="http://schemas.openxmlformats.org/officeDocument/2006/custom-properties" xmlns:vt="http://schemas.openxmlformats.org/officeDocument/2006/docPropsVTypes"/>
</file>