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4A3DE" w14:textId="77777777" w:rsidR="003D077E" w:rsidRPr="003D077E" w:rsidRDefault="003D077E" w:rsidP="003D077E">
      <w:r w:rsidRPr="003D077E">
        <w:rPr>
          <w:b/>
          <w:bCs/>
        </w:rPr>
        <w:t>Executive Summary: Southeast &amp; Northeast Construction and Specialty Manufacturing Roll-Up Opportunity</w:t>
      </w:r>
    </w:p>
    <w:p w14:paraId="15DF4A40" w14:textId="42E20605" w:rsidR="003D077E" w:rsidRPr="003D077E" w:rsidRDefault="003D077E" w:rsidP="003D077E">
      <w:r w:rsidRPr="003D077E">
        <w:rPr>
          <w:b/>
          <w:bCs/>
        </w:rPr>
        <w:t>Investment Thesis Overview</w:t>
      </w:r>
      <w:r w:rsidRPr="003D077E">
        <w:br/>
        <w:t xml:space="preserve">This roll-up strategy presents a compelling opportunity to consolidate high-potential businesses in the fragmented U.S. construction and specialty manufacturing sectors, anchored by two companies under Letter of Intent (LOI): Rex Construction, a North Carolina-based commercial and industrial general contractor, and Light Elegance (McConnell Labs), a premier FDA-registered UV </w:t>
      </w:r>
      <w:r>
        <w:t>adhesive and cohesive</w:t>
      </w:r>
      <w:r w:rsidRPr="003D077E">
        <w:t xml:space="preserve"> manufacturer. The broader strategy targets an additional 12-14 businesses from a vetted pipeline</w:t>
      </w:r>
      <w:r>
        <w:t>,</w:t>
      </w:r>
      <w:r w:rsidRPr="003D077E">
        <w:t xml:space="preserve"> with a combined purchase price of approximately $43 million and $13.6 million in EBITDA at a blended multiple of 3.28x. By leveraging centralized management, advanced technology, and a Google Local Services Ads (LSA) marketing engine, we aim to achieve rapid scale, enhance margins, and exit within five years at a projected 6-8x EBITDA multiple, delivering significant returns while utilizing Section 1202 of the U.S. Tax Code to optimize investor tax benefits.</w:t>
      </w:r>
    </w:p>
    <w:p w14:paraId="3230417B" w14:textId="77777777" w:rsidR="003D077E" w:rsidRPr="003D077E" w:rsidRDefault="003D077E" w:rsidP="003D077E">
      <w:r w:rsidRPr="003D077E">
        <w:rPr>
          <w:b/>
          <w:bCs/>
        </w:rPr>
        <w:t>Anchor Acquisitions: Rex Construction and Light Elegance</w:t>
      </w:r>
    </w:p>
    <w:p w14:paraId="004CE96C" w14:textId="77777777" w:rsidR="003D077E" w:rsidRPr="003D077E" w:rsidRDefault="003D077E" w:rsidP="003D077E">
      <w:pPr>
        <w:numPr>
          <w:ilvl w:val="0"/>
          <w:numId w:val="1"/>
        </w:numPr>
      </w:pPr>
      <w:r w:rsidRPr="003D077E">
        <w:rPr>
          <w:b/>
          <w:bCs/>
        </w:rPr>
        <w:t>Rex Construction</w:t>
      </w:r>
      <w:r w:rsidRPr="003D077E">
        <w:t xml:space="preserve">: A proven general contractor with expertise in construction management, design-build, and self-performed trades (roofing, siding, painting), Rex generates strong cash flows and serves as the operational hub for the construction </w:t>
      </w:r>
      <w:proofErr w:type="gramStart"/>
      <w:r w:rsidRPr="003D077E">
        <w:t>vertical</w:t>
      </w:r>
      <w:proofErr w:type="gramEnd"/>
      <w:r w:rsidRPr="003D077E">
        <w:t>. With a robust project management framework and regional relationships, Rex is poised to integrate and elevate subcontractor businesses, driving efficiencies and enabling larger, higher-margin contracts.</w:t>
      </w:r>
    </w:p>
    <w:p w14:paraId="21A390A1" w14:textId="77777777" w:rsidR="003D077E" w:rsidRPr="003D077E" w:rsidRDefault="003D077E" w:rsidP="003D077E">
      <w:pPr>
        <w:numPr>
          <w:ilvl w:val="0"/>
          <w:numId w:val="1"/>
        </w:numPr>
      </w:pPr>
      <w:r w:rsidRPr="003D077E">
        <w:rPr>
          <w:b/>
          <w:bCs/>
        </w:rPr>
        <w:t>Light Elegance (McConnell Labs)</w:t>
      </w:r>
      <w:r w:rsidRPr="003D077E">
        <w:t>: A high-margin manufacturer of professional-grade UV nail gel products, Light Elegance boasts proprietary formulations, FDA compliance, and a breakthrough cost-saving innovation set to reduce manufacturing costs by 50% in 2025. With $8.23 million in projected 2025 revenue and $1.73 million in EBITDA, it offers a scalable platform for growth in the $5.56 billion global UV nail gel market (7.6% CAGR through 2032).</w:t>
      </w:r>
    </w:p>
    <w:p w14:paraId="1AF03367" w14:textId="77777777" w:rsidR="003D077E" w:rsidRPr="003D077E" w:rsidRDefault="003D077E" w:rsidP="003D077E">
      <w:r w:rsidRPr="003D077E">
        <w:rPr>
          <w:b/>
          <w:bCs/>
        </w:rPr>
        <w:t>Roll-Up Strategy and Target Pipeline</w:t>
      </w:r>
      <w:r w:rsidRPr="003D077E">
        <w:br/>
        <w:t>The roll-up will expand through the acquisition of complementary businesses from the attached spreadsheet, focusing on construction subcontractors (e.g., roofing, paving, masonry, HVAC, plumbing) and niche manufacturing (e.g., sawmills, metal fabrication). Key targets include:</w:t>
      </w:r>
    </w:p>
    <w:p w14:paraId="0BF0C027" w14:textId="77777777" w:rsidR="003D077E" w:rsidRPr="003D077E" w:rsidRDefault="003D077E" w:rsidP="003D077E">
      <w:pPr>
        <w:numPr>
          <w:ilvl w:val="0"/>
          <w:numId w:val="2"/>
        </w:numPr>
      </w:pPr>
      <w:r w:rsidRPr="003D077E">
        <w:rPr>
          <w:b/>
          <w:bCs/>
        </w:rPr>
        <w:t>Elite Restoration (KY)</w:t>
      </w:r>
      <w:r w:rsidRPr="003D077E">
        <w:t>: Disaster recovery and restoration, ideal for insurance-backed work.</w:t>
      </w:r>
    </w:p>
    <w:p w14:paraId="2E084174" w14:textId="77777777" w:rsidR="003D077E" w:rsidRPr="003D077E" w:rsidRDefault="003D077E" w:rsidP="003D077E">
      <w:pPr>
        <w:numPr>
          <w:ilvl w:val="0"/>
          <w:numId w:val="2"/>
        </w:numPr>
      </w:pPr>
      <w:r w:rsidRPr="003D077E">
        <w:rPr>
          <w:b/>
          <w:bCs/>
        </w:rPr>
        <w:t>Paving Companies (VA, NC)</w:t>
      </w:r>
      <w:r w:rsidRPr="003D077E">
        <w:t xml:space="preserve">: </w:t>
      </w:r>
      <w:proofErr w:type="gramStart"/>
      <w:r w:rsidRPr="003D077E">
        <w:t>High-demand</w:t>
      </w:r>
      <w:proofErr w:type="gramEnd"/>
      <w:r w:rsidRPr="003D077E">
        <w:t xml:space="preserve"> sitework services for vertical integration.</w:t>
      </w:r>
    </w:p>
    <w:p w14:paraId="0DC3DC34" w14:textId="77777777" w:rsidR="003D077E" w:rsidRPr="003D077E" w:rsidRDefault="003D077E" w:rsidP="003D077E">
      <w:pPr>
        <w:numPr>
          <w:ilvl w:val="0"/>
          <w:numId w:val="2"/>
        </w:numPr>
      </w:pPr>
      <w:r w:rsidRPr="003D077E">
        <w:rPr>
          <w:b/>
          <w:bCs/>
        </w:rPr>
        <w:t>Roofing &amp; Siding (TN)</w:t>
      </w:r>
      <w:r w:rsidRPr="003D077E">
        <w:t>: Strong residential and commercial client base.</w:t>
      </w:r>
    </w:p>
    <w:p w14:paraId="2DE3814C" w14:textId="77777777" w:rsidR="003D077E" w:rsidRPr="003D077E" w:rsidRDefault="003D077E" w:rsidP="003D077E">
      <w:pPr>
        <w:numPr>
          <w:ilvl w:val="0"/>
          <w:numId w:val="2"/>
        </w:numPr>
      </w:pPr>
      <w:r w:rsidRPr="003D077E">
        <w:rPr>
          <w:b/>
          <w:bCs/>
        </w:rPr>
        <w:t>Sawmill (ME)</w:t>
      </w:r>
      <w:r w:rsidRPr="003D077E">
        <w:t>: Supply chain control for lumber, enhancing margins for construction entities.</w:t>
      </w:r>
    </w:p>
    <w:p w14:paraId="0BE40240" w14:textId="77777777" w:rsidR="003D077E" w:rsidRPr="003D077E" w:rsidRDefault="003D077E" w:rsidP="003D077E">
      <w:r w:rsidRPr="003D077E">
        <w:t>These businesses, with EBITDA ranging from $500,000 to $2.6 million, were selected for their profitability, regional synergy, and growth potential. The strategy mitigates risk through diversified revenue streams across construction (e.g., commercial, residential, infrastructure) and manufacturing (e.g., beauty, industrial), reducing exposure to market-specific downturns.</w:t>
      </w:r>
    </w:p>
    <w:p w14:paraId="45370939" w14:textId="77777777" w:rsidR="003D077E" w:rsidRPr="003D077E" w:rsidRDefault="003D077E" w:rsidP="003D077E">
      <w:r w:rsidRPr="003D077E">
        <w:rPr>
          <w:b/>
          <w:bCs/>
        </w:rPr>
        <w:lastRenderedPageBreak/>
        <w:t>Centralized Management and Technology Integration</w:t>
      </w:r>
      <w:r w:rsidRPr="003D077E">
        <w:br/>
        <w:t>Led by Portfolio CEO Jason Morris, a seasoned executive with over a decade of experience driving growth through acquisitions and operational transformation (e.g., grocery retail, asphalt, transportation), the roll-up will implement a centralized management platform to oversee:</w:t>
      </w:r>
    </w:p>
    <w:p w14:paraId="6B699D7B" w14:textId="77777777" w:rsidR="003D077E" w:rsidRPr="003D077E" w:rsidRDefault="003D077E" w:rsidP="003D077E">
      <w:pPr>
        <w:numPr>
          <w:ilvl w:val="0"/>
          <w:numId w:val="3"/>
        </w:numPr>
      </w:pPr>
      <w:r w:rsidRPr="003D077E">
        <w:rPr>
          <w:b/>
          <w:bCs/>
        </w:rPr>
        <w:t>Operations</w:t>
      </w:r>
      <w:r w:rsidRPr="003D077E">
        <w:t>: Standardized project management, procurement, and quality control to ensure consistency and efficiency across entities.</w:t>
      </w:r>
    </w:p>
    <w:p w14:paraId="4DCB665A" w14:textId="77777777" w:rsidR="003D077E" w:rsidRPr="003D077E" w:rsidRDefault="003D077E" w:rsidP="003D077E">
      <w:pPr>
        <w:numPr>
          <w:ilvl w:val="0"/>
          <w:numId w:val="3"/>
        </w:numPr>
      </w:pPr>
      <w:r w:rsidRPr="003D077E">
        <w:rPr>
          <w:b/>
          <w:bCs/>
        </w:rPr>
        <w:t>HR/Payroll</w:t>
      </w:r>
      <w:r w:rsidRPr="003D077E">
        <w:t>: Streamlined systems to optimize workforce management, reduce turnover (Morris achieved an 80% turnover reduction at Express Medical Transportation), and foster employee development.</w:t>
      </w:r>
    </w:p>
    <w:p w14:paraId="0F226F7A" w14:textId="77777777" w:rsidR="003D077E" w:rsidRPr="003D077E" w:rsidRDefault="003D077E" w:rsidP="003D077E">
      <w:pPr>
        <w:numPr>
          <w:ilvl w:val="0"/>
          <w:numId w:val="3"/>
        </w:numPr>
      </w:pPr>
      <w:r w:rsidRPr="003D077E">
        <w:rPr>
          <w:b/>
          <w:bCs/>
        </w:rPr>
        <w:t>Financial Performance</w:t>
      </w:r>
      <w:r w:rsidRPr="003D077E">
        <w:t>: Tech-enabled financial dashboards for real-time P&amp;L tracking, budgeting, and cash flow optimization, drawing on Morris’s expertise in increasing profitability (e.g., 400% bottom-line improvement at Everyday Deals Grocery).</w:t>
      </w:r>
    </w:p>
    <w:p w14:paraId="371B5A90" w14:textId="77777777" w:rsidR="003D077E" w:rsidRPr="003D077E" w:rsidRDefault="003D077E" w:rsidP="003D077E">
      <w:r w:rsidRPr="003D077E">
        <w:t>By deploying enterprise-grade ERP systems and AI-driven logistics tools (as Morris implemented to reduce incidents by 85% in transportation), we will enhance scalability, enabling rapid integration of new acquisitions and operational excellence. This infrastructure will support a projected 10% annual revenue growth and 50-100% EBITDA margin expansion over five years.</w:t>
      </w:r>
    </w:p>
    <w:p w14:paraId="2F6E057A" w14:textId="77777777" w:rsidR="003D077E" w:rsidRPr="003D077E" w:rsidRDefault="003D077E" w:rsidP="003D077E">
      <w:r w:rsidRPr="003D077E">
        <w:rPr>
          <w:b/>
          <w:bCs/>
        </w:rPr>
        <w:t>Marketing Engine: Google Local Services Ads (LSAs)</w:t>
      </w:r>
      <w:r w:rsidRPr="003D077E">
        <w:br/>
        <w:t>A centralized LSA strategy will drive lead generation across all markets, targeting homeowners, businesses, and contractors searching for construction and specialty services. LSAs offer hyper-local, high-conversion advertising, feeding a shared CRM for cross-selling and repeat business. Key tactics include:</w:t>
      </w:r>
    </w:p>
    <w:p w14:paraId="2AD4F7E2" w14:textId="77777777" w:rsidR="003D077E" w:rsidRPr="003D077E" w:rsidRDefault="003D077E" w:rsidP="003D077E">
      <w:pPr>
        <w:numPr>
          <w:ilvl w:val="0"/>
          <w:numId w:val="4"/>
        </w:numPr>
      </w:pPr>
      <w:r w:rsidRPr="003D077E">
        <w:rPr>
          <w:b/>
          <w:bCs/>
        </w:rPr>
        <w:t>Optimized Ad Content</w:t>
      </w:r>
      <w:r w:rsidRPr="003D077E">
        <w:t>: Highlighting certifications, warranties, and project portfolios (e.g., roofing warranties, FDA compliance for Light Elegance).</w:t>
      </w:r>
    </w:p>
    <w:p w14:paraId="4736556B" w14:textId="77777777" w:rsidR="003D077E" w:rsidRPr="003D077E" w:rsidRDefault="003D077E" w:rsidP="003D077E">
      <w:pPr>
        <w:numPr>
          <w:ilvl w:val="0"/>
          <w:numId w:val="4"/>
        </w:numPr>
      </w:pPr>
      <w:r w:rsidRPr="003D077E">
        <w:rPr>
          <w:b/>
          <w:bCs/>
        </w:rPr>
        <w:t>Reputation Management</w:t>
      </w:r>
      <w:r w:rsidRPr="003D077E">
        <w:t>: Encouraging reviews to build trust, critical for construction and consumer-facing businesses like Light Elegance.</w:t>
      </w:r>
    </w:p>
    <w:p w14:paraId="0A77CC2E" w14:textId="77777777" w:rsidR="003D077E" w:rsidRPr="003D077E" w:rsidRDefault="003D077E" w:rsidP="003D077E">
      <w:pPr>
        <w:numPr>
          <w:ilvl w:val="0"/>
          <w:numId w:val="4"/>
        </w:numPr>
      </w:pPr>
      <w:r w:rsidRPr="003D077E">
        <w:rPr>
          <w:b/>
          <w:bCs/>
        </w:rPr>
        <w:t>Performance Tracking</w:t>
      </w:r>
      <w:r w:rsidRPr="003D077E">
        <w:t>: A/B testing and KPI monitoring (leads, cost per lead, conversion rates) to maximize ROI, with budgets tailored by industry (e.g., $600/month for HVAC, $700/month for specialty services).</w:t>
      </w:r>
    </w:p>
    <w:p w14:paraId="30E0C02D" w14:textId="77777777" w:rsidR="003D077E" w:rsidRPr="003D077E" w:rsidRDefault="003D077E" w:rsidP="003D077E">
      <w:r w:rsidRPr="003D077E">
        <w:t>This approach will unify brand presence, reduce customer acquisition costs, and accelerate top-line growth, particularly for construction subcontractors with high local demand.</w:t>
      </w:r>
    </w:p>
    <w:p w14:paraId="3939526B" w14:textId="77777777" w:rsidR="003D077E" w:rsidRPr="003D077E" w:rsidRDefault="003D077E" w:rsidP="003D077E">
      <w:r w:rsidRPr="003D077E">
        <w:rPr>
          <w:b/>
          <w:bCs/>
        </w:rPr>
        <w:t>Capital Requirements and Timeline</w:t>
      </w:r>
      <w:r w:rsidRPr="003D077E">
        <w:br/>
        <w:t>To execute the initial acquisitions of Rex Construction and Light Elegance, we seek to raise $10-12 million in equity within the next 60-90 days, supplemented by seller notes and performance-based earnouts to minimize upfront capital. Post-acquisition, an additional $31-33 million will fund the roll-up of 12-14 target companies over 18-24 months, leveraging debt financing and reinvested cash flows. The five-year timeline aligns with rapid scaling and exit planning, targeting a 2029 sale to a strategic buyer or private equity firm.</w:t>
      </w:r>
    </w:p>
    <w:p w14:paraId="671BA511" w14:textId="77777777" w:rsidR="003D077E" w:rsidRPr="003D077E" w:rsidRDefault="003D077E" w:rsidP="003D077E">
      <w:r w:rsidRPr="003D077E">
        <w:rPr>
          <w:b/>
          <w:bCs/>
        </w:rPr>
        <w:lastRenderedPageBreak/>
        <w:t>Section 1202 Tax Advantage</w:t>
      </w:r>
      <w:r w:rsidRPr="003D077E">
        <w:br/>
        <w:t>The roll-up is structured to qualify for Section 1202 of the U.S. Tax Code, which allows investors to exclude up to 100% of capital gains (up to $10 million per taxpayer or 10x the adjusted basis) on Qualified Small Business Stock (QSBS) held for at least five years. By forming a C-corporation to hold the portfolio and ensuring compliance with QSBS criteria (e.g., active business operations, asset thresholds), we maximize after-tax returns for investors upon exit, significantly enhancing the investment’s attractiveness.</w:t>
      </w:r>
    </w:p>
    <w:p w14:paraId="2A9860FB" w14:textId="77777777" w:rsidR="003D077E" w:rsidRPr="003D077E" w:rsidRDefault="003D077E" w:rsidP="003D077E">
      <w:r w:rsidRPr="003D077E">
        <w:rPr>
          <w:b/>
          <w:bCs/>
        </w:rPr>
        <w:t>Investment Upside and Exit Strategy</w:t>
      </w:r>
      <w:r w:rsidRPr="003D077E">
        <w:br/>
        <w:t>The roll-up is designed for value creation through:</w:t>
      </w:r>
    </w:p>
    <w:p w14:paraId="32CD54ED" w14:textId="77777777" w:rsidR="003D077E" w:rsidRPr="003D077E" w:rsidRDefault="003D077E" w:rsidP="003D077E">
      <w:pPr>
        <w:numPr>
          <w:ilvl w:val="0"/>
          <w:numId w:val="5"/>
        </w:numPr>
      </w:pPr>
      <w:r w:rsidRPr="003D077E">
        <w:rPr>
          <w:b/>
          <w:bCs/>
        </w:rPr>
        <w:t>Multiple Arbitrage</w:t>
      </w:r>
      <w:r w:rsidRPr="003D077E">
        <w:t>: Acquiring at 3.28x EBITDA and exiting at 6-8x, driven by scale and professionalization.</w:t>
      </w:r>
    </w:p>
    <w:p w14:paraId="0A3FD67A" w14:textId="77777777" w:rsidR="003D077E" w:rsidRPr="003D077E" w:rsidRDefault="003D077E" w:rsidP="003D077E">
      <w:pPr>
        <w:numPr>
          <w:ilvl w:val="0"/>
          <w:numId w:val="5"/>
        </w:numPr>
      </w:pPr>
      <w:r w:rsidRPr="003D077E">
        <w:rPr>
          <w:b/>
          <w:bCs/>
        </w:rPr>
        <w:t>Margin Expansion</w:t>
      </w:r>
      <w:r w:rsidRPr="003D077E">
        <w:t>: Centralized procurement, back-office efficiencies, and supply chain control (e.g., sawmill integration) to boost margins.</w:t>
      </w:r>
    </w:p>
    <w:p w14:paraId="4E13B9A5" w14:textId="77777777" w:rsidR="003D077E" w:rsidRPr="003D077E" w:rsidRDefault="003D077E" w:rsidP="003D077E">
      <w:pPr>
        <w:numPr>
          <w:ilvl w:val="0"/>
          <w:numId w:val="5"/>
        </w:numPr>
      </w:pPr>
      <w:r w:rsidRPr="003D077E">
        <w:rPr>
          <w:b/>
          <w:bCs/>
        </w:rPr>
        <w:t>Revenue Growth</w:t>
      </w:r>
      <w:r w:rsidRPr="003D077E">
        <w:t>: LSA-driven lead generation, cross-regional bids, and new verticals (e.g., restoration, specialty manufacturing) to drive top-line growth.</w:t>
      </w:r>
    </w:p>
    <w:p w14:paraId="65C5D90A" w14:textId="77777777" w:rsidR="003D077E" w:rsidRPr="003D077E" w:rsidRDefault="003D077E" w:rsidP="003D077E">
      <w:r w:rsidRPr="003D077E">
        <w:t>Assuming a 10% annual EBITDA growth model (from $13.6 million to $21.7 million by Year 5) and a 7x exit multiple, the portfolio could yield a $152 million valuation, delivering a 3.5x return on invested capital. With Section 1202 tax benefits, investors could retain a substantial portion of gains tax-free, amplifying net returns.</w:t>
      </w:r>
    </w:p>
    <w:p w14:paraId="72243643" w14:textId="77777777" w:rsidR="003D077E" w:rsidRPr="003D077E" w:rsidRDefault="003D077E" w:rsidP="003D077E">
      <w:r w:rsidRPr="003D077E">
        <w:rPr>
          <w:b/>
          <w:bCs/>
        </w:rPr>
        <w:t>Leadership and Execution</w:t>
      </w:r>
      <w:r w:rsidRPr="003D077E">
        <w:br/>
        <w:t>Jason Morris’s track record—spanning successful exits (e.g., Crown Industries, Everyday Deals Grocery), operational turnarounds, and multi-site management—ensures disciplined execution. His ability to integrate acquisitions, implement KPIs, and foster team accountability (e.g., 25% productivity gains at Klinger Asphalt) positions him to lead this roll-up to success. Supported by a lean leadership team and technology-driven processes, Morris will drive value creation while maintaining investor transparency.</w:t>
      </w:r>
    </w:p>
    <w:p w14:paraId="72429C2D" w14:textId="77777777" w:rsidR="003D077E" w:rsidRPr="003D077E" w:rsidRDefault="003D077E" w:rsidP="003D077E">
      <w:r w:rsidRPr="003D077E">
        <w:rPr>
          <w:b/>
          <w:bCs/>
        </w:rPr>
        <w:t>Conclusion</w:t>
      </w:r>
      <w:r w:rsidRPr="003D077E">
        <w:br/>
        <w:t>This roll-up offers a unique opportunity to capitalize on the fragmented construction and specialty manufacturing sectors, anchored by Rex Construction and Light Elegance. With centralized management, LSA-powered marketing, and a tax-optimized structure, the strategy is poised for rapid scale and a lucrative exit within five years. We invite investors to join us in raising $10-12 million to launch this transformative platform, delivering outsized returns and lasting impact.</w:t>
      </w:r>
    </w:p>
    <w:p w14:paraId="006E63A9" w14:textId="77777777" w:rsidR="003D077E" w:rsidRPr="003D077E" w:rsidRDefault="003D077E" w:rsidP="003D077E">
      <w:r w:rsidRPr="003D077E">
        <w:pict w14:anchorId="684BCD6C">
          <v:rect id="_x0000_i1031" style="width:0;height:1.5pt" o:hralign="center" o:hrstd="t" o:hr="t" fillcolor="#a0a0a0" stroked="f"/>
        </w:pict>
      </w:r>
    </w:p>
    <w:p w14:paraId="25F200DF" w14:textId="69A9F23F" w:rsidR="003D077E" w:rsidRPr="003D077E" w:rsidRDefault="003D077E" w:rsidP="003D077E">
      <w:r w:rsidRPr="003D077E">
        <w:rPr>
          <w:b/>
          <w:bCs/>
        </w:rPr>
        <w:t>Contact</w:t>
      </w:r>
      <w:r w:rsidRPr="003D077E">
        <w:t xml:space="preserve">: Jason Morris | (208) 921-4991 | </w:t>
      </w:r>
      <w:hyperlink r:id="rId5" w:history="1">
        <w:r w:rsidRPr="003D077E">
          <w:rPr>
            <w:rStyle w:val="Hyperlink"/>
          </w:rPr>
          <w:t>jason</w:t>
        </w:r>
        <w:r w:rsidRPr="00F27C30">
          <w:rPr>
            <w:rStyle w:val="Hyperlink"/>
          </w:rPr>
          <w:t>@titus-managment</w:t>
        </w:r>
        <w:r w:rsidRPr="003D077E">
          <w:rPr>
            <w:rStyle w:val="Hyperlink"/>
          </w:rPr>
          <w:t>.com</w:t>
        </w:r>
      </w:hyperlink>
      <w:r w:rsidRPr="003D077E">
        <w:t xml:space="preserve"> | LinkedIn: </w:t>
      </w:r>
      <w:hyperlink r:id="rId6" w:tgtFrame="_blank" w:history="1">
        <w:r w:rsidRPr="003D077E">
          <w:rPr>
            <w:rStyle w:val="Hyperlink"/>
          </w:rPr>
          <w:t>www.linkedin.com/in/jason-morris-jmo/</w:t>
        </w:r>
      </w:hyperlink>
    </w:p>
    <w:p w14:paraId="2BA3D2C1" w14:textId="77777777" w:rsidR="007F05E1" w:rsidRDefault="007F05E1"/>
    <w:sectPr w:rsidR="007F0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95ABA"/>
    <w:multiLevelType w:val="multilevel"/>
    <w:tmpl w:val="96D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2779C4"/>
    <w:multiLevelType w:val="multilevel"/>
    <w:tmpl w:val="4526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B50AD"/>
    <w:multiLevelType w:val="multilevel"/>
    <w:tmpl w:val="7BEE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9142A"/>
    <w:multiLevelType w:val="multilevel"/>
    <w:tmpl w:val="814C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BF64E9"/>
    <w:multiLevelType w:val="multilevel"/>
    <w:tmpl w:val="2982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499741">
    <w:abstractNumId w:val="1"/>
  </w:num>
  <w:num w:numId="2" w16cid:durableId="881941110">
    <w:abstractNumId w:val="3"/>
  </w:num>
  <w:num w:numId="3" w16cid:durableId="671226843">
    <w:abstractNumId w:val="0"/>
  </w:num>
  <w:num w:numId="4" w16cid:durableId="561865440">
    <w:abstractNumId w:val="2"/>
  </w:num>
  <w:num w:numId="5" w16cid:durableId="18205337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77E"/>
    <w:rsid w:val="003D077E"/>
    <w:rsid w:val="003E0E93"/>
    <w:rsid w:val="007F05E1"/>
    <w:rsid w:val="00FF3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31A67"/>
  <w15:chartTrackingRefBased/>
  <w15:docId w15:val="{BAB7A6AB-6F61-4F21-B436-8B93D51B8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77E"/>
    <w:rPr>
      <w:rFonts w:eastAsiaTheme="majorEastAsia" w:cstheme="majorBidi"/>
      <w:color w:val="272727" w:themeColor="text1" w:themeTint="D8"/>
    </w:rPr>
  </w:style>
  <w:style w:type="paragraph" w:styleId="Title">
    <w:name w:val="Title"/>
    <w:basedOn w:val="Normal"/>
    <w:next w:val="Normal"/>
    <w:link w:val="TitleChar"/>
    <w:uiPriority w:val="10"/>
    <w:qFormat/>
    <w:rsid w:val="003D0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77E"/>
    <w:pPr>
      <w:spacing w:before="160"/>
      <w:jc w:val="center"/>
    </w:pPr>
    <w:rPr>
      <w:i/>
      <w:iCs/>
      <w:color w:val="404040" w:themeColor="text1" w:themeTint="BF"/>
    </w:rPr>
  </w:style>
  <w:style w:type="character" w:customStyle="1" w:styleId="QuoteChar">
    <w:name w:val="Quote Char"/>
    <w:basedOn w:val="DefaultParagraphFont"/>
    <w:link w:val="Quote"/>
    <w:uiPriority w:val="29"/>
    <w:rsid w:val="003D077E"/>
    <w:rPr>
      <w:i/>
      <w:iCs/>
      <w:color w:val="404040" w:themeColor="text1" w:themeTint="BF"/>
    </w:rPr>
  </w:style>
  <w:style w:type="paragraph" w:styleId="ListParagraph">
    <w:name w:val="List Paragraph"/>
    <w:basedOn w:val="Normal"/>
    <w:uiPriority w:val="34"/>
    <w:qFormat/>
    <w:rsid w:val="003D077E"/>
    <w:pPr>
      <w:ind w:left="720"/>
      <w:contextualSpacing/>
    </w:pPr>
  </w:style>
  <w:style w:type="character" w:styleId="IntenseEmphasis">
    <w:name w:val="Intense Emphasis"/>
    <w:basedOn w:val="DefaultParagraphFont"/>
    <w:uiPriority w:val="21"/>
    <w:qFormat/>
    <w:rsid w:val="003D077E"/>
    <w:rPr>
      <w:i/>
      <w:iCs/>
      <w:color w:val="0F4761" w:themeColor="accent1" w:themeShade="BF"/>
    </w:rPr>
  </w:style>
  <w:style w:type="paragraph" w:styleId="IntenseQuote">
    <w:name w:val="Intense Quote"/>
    <w:basedOn w:val="Normal"/>
    <w:next w:val="Normal"/>
    <w:link w:val="IntenseQuoteChar"/>
    <w:uiPriority w:val="30"/>
    <w:qFormat/>
    <w:rsid w:val="003D0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77E"/>
    <w:rPr>
      <w:i/>
      <w:iCs/>
      <w:color w:val="0F4761" w:themeColor="accent1" w:themeShade="BF"/>
    </w:rPr>
  </w:style>
  <w:style w:type="character" w:styleId="IntenseReference">
    <w:name w:val="Intense Reference"/>
    <w:basedOn w:val="DefaultParagraphFont"/>
    <w:uiPriority w:val="32"/>
    <w:qFormat/>
    <w:rsid w:val="003D077E"/>
    <w:rPr>
      <w:b/>
      <w:bCs/>
      <w:smallCaps/>
      <w:color w:val="0F4761" w:themeColor="accent1" w:themeShade="BF"/>
      <w:spacing w:val="5"/>
    </w:rPr>
  </w:style>
  <w:style w:type="character" w:styleId="Hyperlink">
    <w:name w:val="Hyperlink"/>
    <w:basedOn w:val="DefaultParagraphFont"/>
    <w:uiPriority w:val="99"/>
    <w:unhideWhenUsed/>
    <w:rsid w:val="003D077E"/>
    <w:rPr>
      <w:color w:val="467886" w:themeColor="hyperlink"/>
      <w:u w:val="single"/>
    </w:rPr>
  </w:style>
  <w:style w:type="character" w:styleId="UnresolvedMention">
    <w:name w:val="Unresolved Mention"/>
    <w:basedOn w:val="DefaultParagraphFont"/>
    <w:uiPriority w:val="99"/>
    <w:semiHidden/>
    <w:unhideWhenUsed/>
    <w:rsid w:val="003D07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6578546">
      <w:bodyDiv w:val="1"/>
      <w:marLeft w:val="0"/>
      <w:marRight w:val="0"/>
      <w:marTop w:val="0"/>
      <w:marBottom w:val="0"/>
      <w:divBdr>
        <w:top w:val="none" w:sz="0" w:space="0" w:color="auto"/>
        <w:left w:val="none" w:sz="0" w:space="0" w:color="auto"/>
        <w:bottom w:val="none" w:sz="0" w:space="0" w:color="auto"/>
        <w:right w:val="none" w:sz="0" w:space="0" w:color="auto"/>
      </w:divBdr>
      <w:divsChild>
        <w:div w:id="696780753">
          <w:marLeft w:val="0"/>
          <w:marRight w:val="0"/>
          <w:marTop w:val="0"/>
          <w:marBottom w:val="0"/>
          <w:divBdr>
            <w:top w:val="none" w:sz="0" w:space="0" w:color="auto"/>
            <w:left w:val="none" w:sz="0" w:space="0" w:color="auto"/>
            <w:bottom w:val="none" w:sz="0" w:space="0" w:color="auto"/>
            <w:right w:val="none" w:sz="0" w:space="0" w:color="auto"/>
          </w:divBdr>
        </w:div>
      </w:divsChild>
    </w:div>
    <w:div w:id="1944724000">
      <w:bodyDiv w:val="1"/>
      <w:marLeft w:val="0"/>
      <w:marRight w:val="0"/>
      <w:marTop w:val="0"/>
      <w:marBottom w:val="0"/>
      <w:divBdr>
        <w:top w:val="none" w:sz="0" w:space="0" w:color="auto"/>
        <w:left w:val="none" w:sz="0" w:space="0" w:color="auto"/>
        <w:bottom w:val="none" w:sz="0" w:space="0" w:color="auto"/>
        <w:right w:val="none" w:sz="0" w:space="0" w:color="auto"/>
      </w:divBdr>
      <w:divsChild>
        <w:div w:id="17209318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jason-morris-jmo/" TargetMode="External"/><Relationship Id="rId5" Type="http://schemas.openxmlformats.org/officeDocument/2006/relationships/hyperlink" Target="mailto:jason@titus-managmen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1282</Words>
  <Characters>7311</Characters>
  <Application>Microsoft Office Word</Application>
  <DocSecurity>0</DocSecurity>
  <Lines>60</Lines>
  <Paragraphs>17</Paragraphs>
  <ScaleCrop>false</ScaleCrop>
  <Company/>
  <LinksUpToDate>false</LinksUpToDate>
  <CharactersWithSpaces>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Morris</dc:creator>
  <cp:keywords/>
  <dc:description/>
  <cp:lastModifiedBy>Jason Morris</cp:lastModifiedBy>
  <cp:revision>1</cp:revision>
  <dcterms:created xsi:type="dcterms:W3CDTF">2025-04-11T20:44:00Z</dcterms:created>
  <dcterms:modified xsi:type="dcterms:W3CDTF">2025-04-11T20:48:00Z</dcterms:modified>
</cp:coreProperties>
</file>