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rFonts w:ascii="Times New Roman" w:hAnsi="Times New Roman"/>
          <w:b/>
          <w:i w:val="0"/>
          <w:sz w:val="32"/>
        </w:rPr>
        <w:t>Visual Landmark-Based Two-Stream Temporal Fusion for AI-Assisted Depression Screening from Interview Video</w:t>
      </w:r>
    </w:p>
    <w:p>
      <w:pPr>
        <w:spacing w:after="80" w:line="252" w:lineRule="auto"/>
        <w:jc w:val="center"/>
      </w:pPr>
      <w:r>
        <w:rPr>
          <w:rFonts w:ascii="Times New Roman" w:hAnsi="Times New Roman"/>
          <w:b w:val="0"/>
          <w:i w:val="0"/>
          <w:sz w:val="20"/>
        </w:rPr>
        <w:t>Jitendra Choudhary (22BEC059), Kabir Singh Khair (22BEC061)</w:t>
      </w:r>
    </w:p>
    <w:p>
      <w:pPr>
        <w:spacing w:after="80" w:line="252" w:lineRule="auto"/>
        <w:jc w:val="center"/>
      </w:pPr>
      <w:r>
        <w:rPr>
          <w:rFonts w:ascii="Times New Roman" w:hAnsi="Times New Roman"/>
          <w:b w:val="0"/>
          <w:i w:val="0"/>
          <w:sz w:val="18"/>
        </w:rPr>
        <w:t>Department of Electronics and Communication Engineering, PDPM IIITDM Jabalpur, India</w:t>
      </w:r>
    </w:p>
    <w:p>
      <w:pPr>
        <w:spacing w:after="80" w:line="252" w:lineRule="auto"/>
        <w:jc w:val="center"/>
      </w:pPr>
      <w:r>
        <w:rPr>
          <w:rFonts w:ascii="Times New Roman" w:hAnsi="Times New Roman"/>
          <w:b w:val="0"/>
          <w:i w:val="0"/>
          <w:sz w:val="18"/>
        </w:rPr>
        <w:t>Supervisor: Dr. Amit Vishwakarma</w:t>
      </w:r>
    </w:p>
    <w:p>
      <w:pPr>
        <w:spacing w:after="80" w:line="252" w:lineRule="auto"/>
      </w:pPr>
      <w:r>
        <w:rPr>
          <w:rFonts w:ascii="Times New Roman" w:hAnsi="Times New Roman"/>
          <w:b/>
          <w:i w:val="0"/>
          <w:sz w:val="20"/>
        </w:rPr>
        <w:t>Abstract</w:t>
      </w:r>
    </w:p>
    <w:p>
      <w:pPr>
        <w:spacing w:after="80" w:line="252" w:lineRule="auto"/>
      </w:pPr>
      <w:r>
        <w:rPr>
          <w:rFonts w:ascii="Times New Roman" w:hAnsi="Times New Roman"/>
          <w:b w:val="0"/>
          <w:i w:val="0"/>
          <w:sz w:val="20"/>
        </w:rPr>
        <w:t>Depression screening commonly depends on clinical interviews, questionnaires, and professional interpretation. These methods remain necessary, but access constraints and under-reporting motivate assistive tools that can analyze behavioral evidence in a repeatable manner. This paper presents a final-year project prototype for AI-assisted depression screening from interview video using a landmark-based Two-Stream Feature Fusion Model (TSFFM). The implemented system extracts a 68-point facial landmark subset using MediaPipe FaceMesh and shoulder-level pose landmarks using MediaPipe Pose. The features are normalized, sampled to a fixed 360-frame sequence, projected through separate face and body streams, fused into a 160-dimensional temporal representation, smoothed by a one-dimensional temporal convolution, and classified by a bidirectional LSTM with temporal attention. The model is integrated into a FastAPI backend and React/Vite frontend that supports video upload, probability display, detection-quality reporting, and PDF report generation. On the available validation evaluation, the selected checkpoint achieved 57.67% accuracy, 0.4688 precision, 0.4255 recall, 0.4461 F1-score, and 0.6597 AUC-ROC over 352 segments. A recall-oriented candidate achieved 0.8227 recall and 0.5873 F1-score but lower accuracy and AUC. The results indicate that the prototype learns measurable signal but is not clinically ready.</w:t>
      </w:r>
    </w:p>
    <w:p>
      <w:pPr>
        <w:spacing w:after="80" w:line="252" w:lineRule="auto"/>
      </w:pPr>
      <w:r>
        <w:rPr>
          <w:rFonts w:ascii="Times New Roman" w:hAnsi="Times New Roman"/>
          <w:b w:val="0"/>
          <w:i/>
          <w:sz w:val="18"/>
        </w:rPr>
        <w:t>Keywords: Depression screening; behavioral computing; facial landmarks; pose landmarks; temporal attention; LSTM; multimodal fusion; DAIC-WOZ; FastAPI.</w:t>
      </w:r>
    </w:p>
    <w:p>
      <w:pPr>
        <w:spacing w:after="80" w:line="252" w:lineRule="auto"/>
      </w:pPr>
      <w:r>
        <w:rPr>
          <w:rFonts w:ascii="Times New Roman" w:hAnsi="Times New Roman"/>
          <w:b/>
          <w:i w:val="0"/>
          <w:sz w:val="24"/>
        </w:rPr>
        <w:t>Literature Review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E8EEF5"/>
          </w:tcPr>
          <w:p>
            <w:pPr>
              <w:spacing w:after="0"/>
            </w:pPr>
            <w:r/>
            <w:r>
              <w:rPr>
                <w:rFonts w:ascii="Times New Roman" w:hAnsi="Times New Roman"/>
                <w:b/>
                <w:i w:val="0"/>
                <w:sz w:val="17"/>
              </w:rPr>
              <w:t>Paper or Source</w:t>
            </w:r>
          </w:p>
        </w:tc>
        <w:tc>
          <w:tcPr>
            <w:tcW w:type="dxa" w:w="2520"/>
            <w:vAlign w:val="top"/>
            <w:shd w:fill="E8EEF5"/>
          </w:tcPr>
          <w:p>
            <w:pPr>
              <w:spacing w:after="0"/>
            </w:pPr>
            <w:r/>
            <w:r>
              <w:rPr>
                <w:rFonts w:ascii="Times New Roman" w:hAnsi="Times New Roman"/>
                <w:b/>
                <w:i w:val="0"/>
                <w:sz w:val="17"/>
              </w:rPr>
              <w:t>Contribution</w:t>
            </w:r>
          </w:p>
        </w:tc>
        <w:tc>
          <w:tcPr>
            <w:tcW w:type="dxa" w:w="2520"/>
            <w:vAlign w:val="top"/>
            <w:shd w:fill="E8EEF5"/>
          </w:tcPr>
          <w:p>
            <w:pPr>
              <w:spacing w:after="0"/>
            </w:pPr>
            <w:r/>
            <w:r>
              <w:rPr>
                <w:rFonts w:ascii="Times New Roman" w:hAnsi="Times New Roman"/>
                <w:b/>
                <w:i w:val="0"/>
                <w:sz w:val="17"/>
              </w:rPr>
              <w:t>Limitation</w:t>
            </w:r>
          </w:p>
        </w:tc>
        <w:tc>
          <w:tcPr>
            <w:tcW w:type="dxa" w:w="2520"/>
            <w:vAlign w:val="top"/>
            <w:shd w:fill="E8EEF5"/>
          </w:tcPr>
          <w:p>
            <w:pPr>
              <w:spacing w:after="0"/>
            </w:pPr>
            <w:r/>
            <w:r>
              <w:rPr>
                <w:rFonts w:ascii="Times New Roman" w:hAnsi="Times New Roman"/>
                <w:b/>
                <w:i w:val="0"/>
                <w:sz w:val="17"/>
              </w:rPr>
              <w:t>Relevance</w:t>
            </w:r>
          </w:p>
        </w:tc>
      </w:tr>
      <w:tr>
        <w:tc>
          <w:tcPr>
            <w:tcW w:type="dxa" w:w="2520"/>
            <w:vAlign w:val="top"/>
          </w:tcPr>
          <w:p>
            <w:pPr>
              <w:spacing w:after="0"/>
            </w:pPr>
            <w:r/>
            <w:r>
              <w:rPr>
                <w:rFonts w:ascii="Times New Roman" w:hAnsi="Times New Roman"/>
                <w:b w:val="0"/>
                <w:i w:val="0"/>
                <w:sz w:val="17"/>
              </w:rPr>
              <w:t>DAIC corpus</w:t>
            </w:r>
          </w:p>
        </w:tc>
        <w:tc>
          <w:tcPr>
            <w:tcW w:type="dxa" w:w="2520"/>
            <w:vAlign w:val="top"/>
          </w:tcPr>
          <w:p>
            <w:pPr>
              <w:spacing w:after="0"/>
            </w:pPr>
            <w:r/>
            <w:r>
              <w:rPr>
                <w:rFonts w:ascii="Times New Roman" w:hAnsi="Times New Roman"/>
                <w:b w:val="0"/>
                <w:i w:val="0"/>
                <w:sz w:val="17"/>
              </w:rPr>
              <w:t>Clinical interviews with verbal and non-verbal distress indicators.</w:t>
            </w:r>
          </w:p>
        </w:tc>
        <w:tc>
          <w:tcPr>
            <w:tcW w:type="dxa" w:w="2520"/>
            <w:vAlign w:val="top"/>
          </w:tcPr>
          <w:p>
            <w:pPr>
              <w:spacing w:after="0"/>
            </w:pPr>
            <w:r/>
            <w:r>
              <w:rPr>
                <w:rFonts w:ascii="Times New Roman" w:hAnsi="Times New Roman"/>
                <w:b w:val="0"/>
                <w:i w:val="0"/>
                <w:sz w:val="17"/>
              </w:rPr>
              <w:t>Access and partition constraints limit direct replication.</w:t>
            </w:r>
          </w:p>
        </w:tc>
        <w:tc>
          <w:tcPr>
            <w:tcW w:type="dxa" w:w="2520"/>
            <w:vAlign w:val="top"/>
          </w:tcPr>
          <w:p>
            <w:pPr>
              <w:spacing w:after="0"/>
            </w:pPr>
            <w:r/>
            <w:r>
              <w:rPr>
                <w:rFonts w:ascii="Times New Roman" w:hAnsi="Times New Roman"/>
                <w:b w:val="0"/>
                <w:i w:val="0"/>
                <w:sz w:val="17"/>
              </w:rPr>
              <w:t>Defines the interview-based behavioral setting.</w:t>
            </w:r>
          </w:p>
        </w:tc>
      </w:tr>
      <w:tr>
        <w:tc>
          <w:tcPr>
            <w:tcW w:type="dxa" w:w="2520"/>
            <w:vAlign w:val="top"/>
          </w:tcPr>
          <w:p>
            <w:pPr>
              <w:spacing w:after="0"/>
            </w:pPr>
            <w:r/>
            <w:r>
              <w:rPr>
                <w:rFonts w:ascii="Times New Roman" w:hAnsi="Times New Roman"/>
                <w:b w:val="0"/>
                <w:i w:val="0"/>
                <w:sz w:val="17"/>
              </w:rPr>
              <w:t>AVEC 2017</w:t>
            </w:r>
          </w:p>
        </w:tc>
        <w:tc>
          <w:tcPr>
            <w:tcW w:type="dxa" w:w="2520"/>
            <w:vAlign w:val="top"/>
          </w:tcPr>
          <w:p>
            <w:pPr>
              <w:spacing w:after="0"/>
            </w:pPr>
            <w:r/>
            <w:r>
              <w:rPr>
                <w:rFonts w:ascii="Times New Roman" w:hAnsi="Times New Roman"/>
                <w:b w:val="0"/>
                <w:i w:val="0"/>
                <w:sz w:val="17"/>
              </w:rPr>
              <w:t>Benchmark conditions for depression and affect recognition.</w:t>
            </w:r>
          </w:p>
        </w:tc>
        <w:tc>
          <w:tcPr>
            <w:tcW w:type="dxa" w:w="2520"/>
            <w:vAlign w:val="top"/>
          </w:tcPr>
          <w:p>
            <w:pPr>
              <w:spacing w:after="0"/>
            </w:pPr>
            <w:r/>
            <w:r>
              <w:rPr>
                <w:rFonts w:ascii="Times New Roman" w:hAnsi="Times New Roman"/>
                <w:b w:val="0"/>
                <w:i w:val="0"/>
                <w:sz w:val="17"/>
              </w:rPr>
              <w:t>Benchmarks do not replace independent validation.</w:t>
            </w:r>
          </w:p>
        </w:tc>
        <w:tc>
          <w:tcPr>
            <w:tcW w:type="dxa" w:w="2520"/>
            <w:vAlign w:val="top"/>
          </w:tcPr>
          <w:p>
            <w:pPr>
              <w:spacing w:after="0"/>
            </w:pPr>
            <w:r/>
            <w:r>
              <w:rPr>
                <w:rFonts w:ascii="Times New Roman" w:hAnsi="Times New Roman"/>
                <w:b w:val="0"/>
                <w:i w:val="0"/>
                <w:sz w:val="17"/>
              </w:rPr>
              <w:t>Provides evaluation context.</w:t>
            </w:r>
          </w:p>
        </w:tc>
      </w:tr>
      <w:tr>
        <w:tc>
          <w:tcPr>
            <w:tcW w:type="dxa" w:w="2520"/>
            <w:vAlign w:val="top"/>
          </w:tcPr>
          <w:p>
            <w:pPr>
              <w:spacing w:after="0"/>
            </w:pPr>
            <w:r/>
            <w:r>
              <w:rPr>
                <w:rFonts w:ascii="Times New Roman" w:hAnsi="Times New Roman"/>
                <w:b w:val="0"/>
                <w:i w:val="0"/>
                <w:sz w:val="17"/>
              </w:rPr>
              <w:t>Zhang et al.</w:t>
            </w:r>
          </w:p>
        </w:tc>
        <w:tc>
          <w:tcPr>
            <w:tcW w:type="dxa" w:w="2520"/>
            <w:vAlign w:val="top"/>
          </w:tcPr>
          <w:p>
            <w:pPr>
              <w:spacing w:after="0"/>
            </w:pPr>
            <w:r/>
            <w:r>
              <w:rPr>
                <w:rFonts w:ascii="Times New Roman" w:hAnsi="Times New Roman"/>
                <w:b w:val="0"/>
                <w:i w:val="0"/>
                <w:sz w:val="17"/>
              </w:rPr>
              <w:t>Text, audio, and video depression detection on DAIC-WOZ.</w:t>
            </w:r>
          </w:p>
        </w:tc>
        <w:tc>
          <w:tcPr>
            <w:tcW w:type="dxa" w:w="2520"/>
            <w:vAlign w:val="top"/>
          </w:tcPr>
          <w:p>
            <w:pPr>
              <w:spacing w:after="0"/>
            </w:pPr>
            <w:r/>
            <w:r>
              <w:rPr>
                <w:rFonts w:ascii="Times New Roman" w:hAnsi="Times New Roman"/>
                <w:b w:val="0"/>
                <w:i w:val="0"/>
                <w:sz w:val="17"/>
              </w:rPr>
              <w:t>Uses modalities beyond this project.</w:t>
            </w:r>
          </w:p>
        </w:tc>
        <w:tc>
          <w:tcPr>
            <w:tcW w:type="dxa" w:w="2520"/>
            <w:vAlign w:val="top"/>
          </w:tcPr>
          <w:p>
            <w:pPr>
              <w:spacing w:after="0"/>
            </w:pPr>
            <w:r/>
            <w:r>
              <w:rPr>
                <w:rFonts w:ascii="Times New Roman" w:hAnsi="Times New Roman"/>
                <w:b w:val="0"/>
                <w:i w:val="0"/>
                <w:sz w:val="17"/>
              </w:rPr>
              <w:t>Motivates audio/text future work.</w:t>
            </w:r>
          </w:p>
        </w:tc>
      </w:tr>
      <w:tr>
        <w:tc>
          <w:tcPr>
            <w:tcW w:type="dxa" w:w="2520"/>
            <w:vAlign w:val="top"/>
          </w:tcPr>
          <w:p>
            <w:pPr>
              <w:spacing w:after="0"/>
            </w:pPr>
            <w:r/>
            <w:r>
              <w:rPr>
                <w:rFonts w:ascii="Times New Roman" w:hAnsi="Times New Roman"/>
                <w:b w:val="0"/>
                <w:i w:val="0"/>
                <w:sz w:val="17"/>
              </w:rPr>
              <w:t>FaceMesh</w:t>
            </w:r>
          </w:p>
        </w:tc>
        <w:tc>
          <w:tcPr>
            <w:tcW w:type="dxa" w:w="2520"/>
            <w:vAlign w:val="top"/>
          </w:tcPr>
          <w:p>
            <w:pPr>
              <w:spacing w:after="0"/>
            </w:pPr>
            <w:r/>
            <w:r>
              <w:rPr>
                <w:rFonts w:ascii="Times New Roman" w:hAnsi="Times New Roman"/>
                <w:b w:val="0"/>
                <w:i w:val="0"/>
                <w:sz w:val="17"/>
              </w:rPr>
              <w:t>Real-time facial geometry from monocular video.</w:t>
            </w:r>
          </w:p>
        </w:tc>
        <w:tc>
          <w:tcPr>
            <w:tcW w:type="dxa" w:w="2520"/>
            <w:vAlign w:val="top"/>
          </w:tcPr>
          <w:p>
            <w:pPr>
              <w:spacing w:after="0"/>
            </w:pPr>
            <w:r/>
            <w:r>
              <w:rPr>
                <w:rFonts w:ascii="Times New Roman" w:hAnsi="Times New Roman"/>
                <w:b w:val="0"/>
                <w:i w:val="0"/>
                <w:sz w:val="17"/>
              </w:rPr>
              <w:t>Not designed for clinical inference.</w:t>
            </w:r>
          </w:p>
        </w:tc>
        <w:tc>
          <w:tcPr>
            <w:tcW w:type="dxa" w:w="2520"/>
            <w:vAlign w:val="top"/>
          </w:tcPr>
          <w:p>
            <w:pPr>
              <w:spacing w:after="0"/>
            </w:pPr>
            <w:r/>
            <w:r>
              <w:rPr>
                <w:rFonts w:ascii="Times New Roman" w:hAnsi="Times New Roman"/>
                <w:b w:val="0"/>
                <w:i w:val="0"/>
                <w:sz w:val="17"/>
              </w:rPr>
              <w:t>Supports landmark features.</w:t>
            </w:r>
          </w:p>
        </w:tc>
      </w:tr>
      <w:tr>
        <w:tc>
          <w:tcPr>
            <w:tcW w:type="dxa" w:w="2520"/>
            <w:vAlign w:val="top"/>
          </w:tcPr>
          <w:p>
            <w:pPr>
              <w:spacing w:after="0"/>
            </w:pPr>
            <w:r/>
            <w:r>
              <w:rPr>
                <w:rFonts w:ascii="Times New Roman" w:hAnsi="Times New Roman"/>
                <w:b w:val="0"/>
                <w:i w:val="0"/>
                <w:sz w:val="17"/>
              </w:rPr>
              <w:t>BlazePose</w:t>
            </w:r>
          </w:p>
        </w:tc>
        <w:tc>
          <w:tcPr>
            <w:tcW w:type="dxa" w:w="2520"/>
            <w:vAlign w:val="top"/>
          </w:tcPr>
          <w:p>
            <w:pPr>
              <w:spacing w:after="0"/>
            </w:pPr>
            <w:r/>
            <w:r>
              <w:rPr>
                <w:rFonts w:ascii="Times New Roman" w:hAnsi="Times New Roman"/>
                <w:b w:val="0"/>
                <w:i w:val="0"/>
                <w:sz w:val="17"/>
              </w:rPr>
              <w:t>Real-time pose landmarks.</w:t>
            </w:r>
          </w:p>
        </w:tc>
        <w:tc>
          <w:tcPr>
            <w:tcW w:type="dxa" w:w="2520"/>
            <w:vAlign w:val="top"/>
          </w:tcPr>
          <w:p>
            <w:pPr>
              <w:spacing w:after="0"/>
            </w:pPr>
            <w:r/>
            <w:r>
              <w:rPr>
                <w:rFonts w:ascii="Times New Roman" w:hAnsi="Times New Roman"/>
                <w:b w:val="0"/>
                <w:i w:val="0"/>
                <w:sz w:val="17"/>
              </w:rPr>
              <w:t>Pose accuracy does not imply depression validity.</w:t>
            </w:r>
          </w:p>
        </w:tc>
        <w:tc>
          <w:tcPr>
            <w:tcW w:type="dxa" w:w="2520"/>
            <w:vAlign w:val="top"/>
          </w:tcPr>
          <w:p>
            <w:pPr>
              <w:spacing w:after="0"/>
            </w:pPr>
            <w:r/>
            <w:r>
              <w:rPr>
                <w:rFonts w:ascii="Times New Roman" w:hAnsi="Times New Roman"/>
                <w:b w:val="0"/>
                <w:i w:val="0"/>
                <w:sz w:val="17"/>
              </w:rPr>
              <w:t>Supports posture features.</w:t>
            </w:r>
          </w:p>
        </w:tc>
      </w:tr>
    </w:tbl>
    <w:p/>
    <w:p>
      <w:pPr>
        <w:spacing w:after="80" w:line="252" w:lineRule="auto"/>
      </w:pPr>
      <w:r>
        <w:rPr>
          <w:rFonts w:ascii="Times New Roman" w:hAnsi="Times New Roman"/>
          <w:b/>
          <w:i w:val="0"/>
          <w:sz w:val="24"/>
        </w:rPr>
        <w:t>I. INTRODUCTION</w:t>
      </w:r>
    </w:p>
    <w:p>
      <w:pPr>
        <w:spacing w:after="80" w:line="252" w:lineRule="auto"/>
      </w:pPr>
      <w:r>
        <w:rPr>
          <w:rFonts w:ascii="Times New Roman" w:hAnsi="Times New Roman"/>
          <w:b w:val="0"/>
          <w:i w:val="0"/>
          <w:sz w:val="20"/>
        </w:rPr>
        <w:t>Depression is a major public-health concern. The World Health Organization reports that approximately 332 million people worldwide have depression, with prevalence varying across age and demographic groups. Screening and diagnosis remain clinical tasks, typically conducted through interview, questionnaire, and professional judgment. However, access limitations, stigma, and self-report bias can delay care. Automated behavioral analysis can therefore be useful as an assistive screening component, provided that its limitations are explicitly stated and clinical decision-making remains with qualified professionals.</w:t>
      </w:r>
    </w:p>
    <w:p>
      <w:pPr>
        <w:spacing w:after="80" w:line="252" w:lineRule="auto"/>
      </w:pPr>
      <w:r>
        <w:rPr>
          <w:rFonts w:ascii="Times New Roman" w:hAnsi="Times New Roman"/>
          <w:b w:val="0"/>
          <w:i w:val="0"/>
          <w:sz w:val="20"/>
        </w:rPr>
        <w:t>Video interviews contain non-verbal signals that may be relevant to depression assessment, including facial expressiveness, gaze behavior, posture, and psychomotor activity. Prior depression-recognition research has frequently used the DAIC-WOZ and AVEC challenge settings, where audio, video, and transcript modalities are collected during human-computer or semi-clinical interviews. These datasets support reproducible experimentation, but they are small relative to modern deep-learning requirements, and generalization across cohorts remains difficult.</w:t>
      </w:r>
    </w:p>
    <w:p>
      <w:pPr>
        <w:spacing w:after="80" w:line="252" w:lineRule="auto"/>
      </w:pPr>
      <w:r>
        <w:rPr>
          <w:rFonts w:ascii="Times New Roman" w:hAnsi="Times New Roman"/>
          <w:b w:val="0"/>
          <w:i w:val="0"/>
          <w:sz w:val="20"/>
        </w:rPr>
        <w:t>The project reported in this paper began as a mid-semester TSFFM concept centered on two visual streams: a facial stream and a body-posture stream. The final implementation changes the early frame-level CNN concept into a compact landmark-based temporal architecture. Specifically, the deployed pipeline extracts face and pose coordinate features, normalizes them, uses separate multilayer streams for face and body, fuses the streams, and uses bidirectional temporal modeling with attention.</w:t>
      </w:r>
    </w:p>
    <w:p>
      <w:pPr>
        <w:spacing w:after="80" w:line="252" w:lineRule="auto"/>
      </w:pPr>
      <w:r>
        <w:rPr>
          <w:rFonts w:ascii="Times New Roman" w:hAnsi="Times New Roman"/>
          <w:b/>
          <w:i w:val="0"/>
          <w:sz w:val="24"/>
        </w:rPr>
        <w:t>II. RELATED WORK</w:t>
      </w:r>
    </w:p>
    <w:p>
      <w:pPr>
        <w:spacing w:after="80" w:line="252" w:lineRule="auto"/>
      </w:pPr>
      <w:r>
        <w:rPr>
          <w:rFonts w:ascii="Times New Roman" w:hAnsi="Times New Roman"/>
          <w:b w:val="0"/>
          <w:i w:val="0"/>
          <w:sz w:val="20"/>
        </w:rPr>
        <w:t>The Distress Analysis Interview Corpus contains clinical interviews designed to support the diagnosis of psychological distress conditions such as depression, anxiety, and post-traumatic stress disorder. AVEC 2017 provided benchmark conditions for affect and depression analysis using common data and evaluation procedures. These benchmark settings motivate this project because they frame depression detection as a multimodal behavioral-computing problem rather than as a conventional image-classification task.</w:t>
      </w:r>
    </w:p>
    <w:p>
      <w:pPr>
        <w:spacing w:after="80" w:line="252" w:lineRule="auto"/>
      </w:pPr>
      <w:r>
        <w:rPr>
          <w:rFonts w:ascii="Times New Roman" w:hAnsi="Times New Roman"/>
          <w:b w:val="0"/>
          <w:i w:val="0"/>
          <w:sz w:val="20"/>
        </w:rPr>
        <w:t>MediaPipe FaceMesh is related to real-time facial surface geometry estimation from monocular video, where dense face meshes are inferred efficiently on mobile hardware. MediaPipe Pose and BlazePose-style systems provide body landmarks suitable for real-time human pose estimation. The current prototype uses these tools as deterministic feature extractors rather than training an image-to-depression network directly.</w:t>
      </w:r>
    </w:p>
    <w:p>
      <w:pPr>
        <w:spacing w:after="80" w:line="252" w:lineRule="auto"/>
      </w:pPr>
      <w:r>
        <w:rPr>
          <w:rFonts w:ascii="Times New Roman" w:hAnsi="Times New Roman"/>
          <w:b w:val="0"/>
          <w:i w:val="0"/>
          <w:sz w:val="20"/>
        </w:rPr>
        <w:t>Depression-related behavior is temporal. LSTM networks address long-range temporal dependency learning in recurrent neural networks. This project uses a bidirectional LSTM to model the fixed-length landmark sequence. Class imbalance is addressed using class weights, weighted sampling, and focal loss.</w:t>
      </w:r>
    </w:p>
    <w:p>
      <w:pPr>
        <w:spacing w:after="80" w:line="252" w:lineRule="auto"/>
      </w:pPr>
      <w:r>
        <w:rPr>
          <w:rFonts w:ascii="Times New Roman" w:hAnsi="Times New Roman"/>
          <w:b/>
          <w:i w:val="0"/>
          <w:sz w:val="24"/>
        </w:rPr>
        <w:t>III. SYSTEM ARCHITECTURE</w:t>
      </w:r>
    </w:p>
    <w:p>
      <w:pPr>
        <w:spacing w:after="80" w:line="252" w:lineRule="auto"/>
      </w:pPr>
      <w:r>
        <w:rPr>
          <w:rFonts w:ascii="Times New Roman" w:hAnsi="Times New Roman"/>
          <w:b w:val="0"/>
          <w:i w:val="0"/>
          <w:sz w:val="20"/>
        </w:rPr>
        <w:t>The implemented system consists of a React/Vite dashboard, a FastAPI prediction API, a MediaPipe-based feature extractor, a PyTorch TSFFM temporal model, training/evaluation scripts, and a ReportLab-based PDF report generator. The frontend handles video upload, patient/session metadata, loading states, probability display, and report download. The backend validates uploads, saves the temporary file, extracts features, runs inference, generates a report, returns a structured response, and deletes the temporary upload.</w:t>
      </w:r>
    </w:p>
    <w:p>
      <w:pPr>
        <w:spacing w:after="80" w:line="252" w:lineRule="auto"/>
      </w:pPr>
      <w:r>
        <w:rPr>
          <w:rFonts w:ascii="Times New Roman" w:hAnsi="Times New Roman"/>
          <w:b w:val="0"/>
          <w:i w:val="0"/>
          <w:sz w:val="20"/>
        </w:rPr>
        <w:t>The deployed data flow begins with an uploaded video file. The backend samples frames at 5 FPS, extracts facial and shoulder pose landmarks, pads or truncates the sequence to 360 frames, normalizes coordinates per frame, flattens the face sequence to shape 360 x 272, flattens the pose sequence to shape 360 x 8, and converts both arrays into tensors with batch dimension. The model produces logits for two classes: not depressed and depressed.</w:t>
      </w:r>
    </w:p>
    <w:p>
      <w:pPr>
        <w:spacing w:after="80" w:line="252" w:lineRule="auto"/>
      </w:pPr>
      <w:r>
        <w:rPr>
          <w:rFonts w:ascii="Times New Roman" w:hAnsi="Times New Roman"/>
          <w:b w:val="0"/>
          <w:i w:val="0"/>
          <w:sz w:val="20"/>
        </w:rPr>
        <w:t>The current safety mechanisms are software and communication safeguards, not clinical safeguards. File extensions are checked before processing. Uploaded files are deleted in a cleanup block after inference. The generated report contains a medical disclaimer. Quantitative evidence is unavailable for adversarial upload handling, privacy compliance, subgroup fairness, model calibration, or clinical review.</w:t>
      </w:r>
    </w:p>
    <w:p>
      <w:pPr>
        <w:jc w:val="center"/>
      </w:pPr>
      <w:r>
        <w:drawing>
          <wp:inline xmlns:a="http://schemas.openxmlformats.org/drawingml/2006/main" xmlns:pic="http://schemas.openxmlformats.org/drawingml/2006/picture">
            <wp:extent cx="5303520" cy="1337646"/>
            <wp:docPr id="1" name="Picture 1"/>
            <wp:cNvGraphicFramePr>
              <a:graphicFrameLocks noChangeAspect="1"/>
            </wp:cNvGraphicFramePr>
            <a:graphic>
              <a:graphicData uri="http://schemas.openxmlformats.org/drawingml/2006/picture">
                <pic:pic>
                  <pic:nvPicPr>
                    <pic:cNvPr id="0" name="system_pipeline.png"/>
                    <pic:cNvPicPr/>
                  </pic:nvPicPr>
                  <pic:blipFill>
                    <a:blip r:embed="rId9"/>
                    <a:stretch>
                      <a:fillRect/>
                    </a:stretch>
                  </pic:blipFill>
                  <pic:spPr>
                    <a:xfrm>
                      <a:off x="0" y="0"/>
                      <a:ext cx="5303520" cy="1337646"/>
                    </a:xfrm>
                    <a:prstGeom prst="rect"/>
                  </pic:spPr>
                </pic:pic>
              </a:graphicData>
            </a:graphic>
          </wp:inline>
        </w:drawing>
      </w:r>
    </w:p>
    <w:p>
      <w:pPr>
        <w:spacing w:after="80" w:line="252" w:lineRule="auto"/>
        <w:jc w:val="center"/>
      </w:pPr>
      <w:r>
        <w:rPr>
          <w:rFonts w:ascii="Times New Roman" w:hAnsi="Times New Roman"/>
          <w:b w:val="0"/>
          <w:i/>
          <w:sz w:val="16"/>
        </w:rPr>
        <w:t>Fig. 1. End-to-end inference pipeline implemented in the project.</w:t>
      </w:r>
    </w:p>
    <w:p>
      <w:pPr>
        <w:spacing w:after="80" w:line="252" w:lineRule="auto"/>
      </w:pPr>
      <w:r>
        <w:rPr>
          <w:rFonts w:ascii="Times New Roman" w:hAnsi="Times New Roman"/>
          <w:b/>
          <w:i w:val="0"/>
          <w:sz w:val="24"/>
        </w:rPr>
        <w:t>IV. METHODOLOGY</w:t>
      </w:r>
    </w:p>
    <w:p>
      <w:pPr>
        <w:spacing w:after="80" w:line="252" w:lineRule="auto"/>
      </w:pPr>
      <w:r>
        <w:rPr>
          <w:rFonts w:ascii="Times New Roman" w:hAnsi="Times New Roman"/>
          <w:b w:val="0"/>
          <w:i w:val="0"/>
          <w:sz w:val="20"/>
        </w:rPr>
        <w:t>For each sampled frame, FaceMesh produces dense facial landmarks. The implementation selects 68 indices to form a standard facial subset. Each facial point stores x, y, z, and confidence, yielding 272 values per frame. Pose extraction uses the left and right shoulders from MediaPipe Pose; each point stores x, y, z, and visibility, yielding 8 values per frame.</w:t>
      </w:r>
    </w:p>
    <w:p>
      <w:pPr>
        <w:spacing w:after="80" w:line="252" w:lineRule="auto"/>
      </w:pPr>
      <w:r>
        <w:rPr>
          <w:rFonts w:ascii="Times New Roman" w:hAnsi="Times New Roman"/>
          <w:b w:val="0"/>
          <w:i w:val="0"/>
          <w:sz w:val="20"/>
        </w:rPr>
        <w:t>Each sequence is centered by subtracting the per-frame mean over spatial coordinates. It is scaled by the maximum per-frame distance from the center, with zero-distance protection. Videos shorter than the target length are padded by repeating the last available frame; longer videos are truncated to 360 sampled frames. If no readable frames exist, zero arrays are returned.</w:t>
      </w:r>
    </w:p>
    <w:p>
      <w:pPr>
        <w:spacing w:after="80" w:line="252" w:lineRule="auto"/>
      </w:pPr>
      <w:r>
        <w:rPr>
          <w:rFonts w:ascii="Times New Roman" w:hAnsi="Times New Roman"/>
          <w:b w:val="0"/>
          <w:i w:val="0"/>
          <w:sz w:val="20"/>
        </w:rPr>
        <w:t>The face stream maps each 272-dimensional vector to a 128-dimensional latent representation. The body stream maps each 8-dimensional pose vector to a 32-dimensional representation. The features are concatenated into a 160-dimensional temporal sequence. A one-dimensional convolution with kernel size 3 is applied over time. A bidirectional LSTM maps the fused sequence into hidden states, and temporal attention forms a context vector before binary classification.</w:t>
      </w:r>
    </w:p>
    <w:p>
      <w:pPr>
        <w:jc w:val="center"/>
      </w:pPr>
      <w:r>
        <w:drawing>
          <wp:inline xmlns:a="http://schemas.openxmlformats.org/drawingml/2006/main" xmlns:pic="http://schemas.openxmlformats.org/drawingml/2006/picture">
            <wp:extent cx="5303520" cy="1905750"/>
            <wp:docPr id="2" name="Picture 2"/>
            <wp:cNvGraphicFramePr>
              <a:graphicFrameLocks noChangeAspect="1"/>
            </wp:cNvGraphicFramePr>
            <a:graphic>
              <a:graphicData uri="http://schemas.openxmlformats.org/drawingml/2006/picture">
                <pic:pic>
                  <pic:nvPicPr>
                    <pic:cNvPr id="0" name="model_architecture.png"/>
                    <pic:cNvPicPr/>
                  </pic:nvPicPr>
                  <pic:blipFill>
                    <a:blip r:embed="rId10"/>
                    <a:stretch>
                      <a:fillRect/>
                    </a:stretch>
                  </pic:blipFill>
                  <pic:spPr>
                    <a:xfrm>
                      <a:off x="0" y="0"/>
                      <a:ext cx="5303520" cy="1905750"/>
                    </a:xfrm>
                    <a:prstGeom prst="rect"/>
                  </pic:spPr>
                </pic:pic>
              </a:graphicData>
            </a:graphic>
          </wp:inline>
        </w:drawing>
      </w:r>
    </w:p>
    <w:p>
      <w:pPr>
        <w:spacing w:after="80" w:line="252" w:lineRule="auto"/>
        <w:jc w:val="center"/>
      </w:pPr>
      <w:r>
        <w:rPr>
          <w:rFonts w:ascii="Times New Roman" w:hAnsi="Times New Roman"/>
          <w:b w:val="0"/>
          <w:i/>
          <w:sz w:val="16"/>
        </w:rPr>
        <w:t>Fig. 2. Implemented TSFFM temporal architecture.</w:t>
      </w:r>
    </w:p>
    <w:p>
      <w:pPr>
        <w:spacing w:after="80" w:line="252" w:lineRule="auto"/>
      </w:pPr>
      <w:r>
        <w:rPr>
          <w:rFonts w:ascii="Times New Roman" w:hAnsi="Times New Roman"/>
          <w:b/>
          <w:i w:val="0"/>
          <w:sz w:val="24"/>
        </w:rPr>
        <w:t>V. EXPERIMENTAL ANALYSIS</w:t>
      </w:r>
    </w:p>
    <w:p>
      <w:pPr>
        <w:spacing w:after="80" w:line="252" w:lineRule="auto"/>
      </w:pPr>
      <w:r>
        <w:rPr>
          <w:rFonts w:ascii="Times New Roman" w:hAnsi="Times New Roman"/>
          <w:b w:val="0"/>
          <w:i w:val="0"/>
          <w:sz w:val="20"/>
        </w:rPr>
        <w:t>The evaluation script loads the validation split, restores the trained checkpoint, performs inference, and computes accuracy, precision, recall, F1-score, and AUC-ROC. It also saves a text classification report, confusion matrix, ROC curve, and training-history plots.</w:t>
      </w:r>
    </w:p>
    <w:p>
      <w:pPr>
        <w:spacing w:after="80" w:line="252" w:lineRule="auto"/>
      </w:pPr>
      <w:r>
        <w:rPr>
          <w:rFonts w:ascii="Times New Roman" w:hAnsi="Times New Roman"/>
          <w:b w:val="0"/>
          <w:i w:val="0"/>
          <w:sz w:val="20"/>
        </w:rPr>
        <w:t>The selected checkpoint has stronger AUC-ROC and accuracy, while the recall-oriented candidate detects a larger fraction of depressed samples at the cost of ranking quality and overall accuracy. In a screening setting, recall is important because false negatives are harmful. However, a high-recall operating point must be calibrated with clinical input to manage false-positive burden.</w:t>
      </w:r>
    </w:p>
    <w:p>
      <w:pPr>
        <w:spacing w:after="80" w:line="252" w:lineRule="auto"/>
      </w:pPr>
      <w:r>
        <w:rPr>
          <w:rFonts w:ascii="Times New Roman" w:hAnsi="Times New Roman"/>
          <w:b w:val="0"/>
          <w:i w:val="0"/>
          <w:sz w:val="20"/>
        </w:rPr>
        <w:t>The selected checkpoint classification report includes 211 not-depressed validation segments and 141 depressed validation segments. The not-depressed class achieved 0.64 precision, 0.68 recall, and 0.66 F1-score. The depressed class achieved 0.47 precision, 0.43 recall, and 0.45 F1-score. The lower depressed-class recall is a major concern for an assistive screening system.</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E8EEF5"/>
          </w:tcPr>
          <w:p>
            <w:pPr>
              <w:spacing w:after="0"/>
            </w:pPr>
            <w:r/>
            <w:r>
              <w:rPr>
                <w:rFonts w:ascii="Times New Roman" w:hAnsi="Times New Roman"/>
                <w:b/>
                <w:i w:val="0"/>
                <w:sz w:val="17"/>
              </w:rPr>
              <w:t>Model</w:t>
            </w:r>
          </w:p>
        </w:tc>
        <w:tc>
          <w:tcPr>
            <w:tcW w:type="dxa" w:w="1680"/>
            <w:vAlign w:val="top"/>
            <w:shd w:fill="E8EEF5"/>
          </w:tcPr>
          <w:p>
            <w:pPr>
              <w:spacing w:after="0"/>
            </w:pPr>
            <w:r/>
            <w:r>
              <w:rPr>
                <w:rFonts w:ascii="Times New Roman" w:hAnsi="Times New Roman"/>
                <w:b/>
                <w:i w:val="0"/>
                <w:sz w:val="17"/>
              </w:rPr>
              <w:t>Accuracy</w:t>
            </w:r>
          </w:p>
        </w:tc>
        <w:tc>
          <w:tcPr>
            <w:tcW w:type="dxa" w:w="1680"/>
            <w:vAlign w:val="top"/>
            <w:shd w:fill="E8EEF5"/>
          </w:tcPr>
          <w:p>
            <w:pPr>
              <w:spacing w:after="0"/>
            </w:pPr>
            <w:r/>
            <w:r>
              <w:rPr>
                <w:rFonts w:ascii="Times New Roman" w:hAnsi="Times New Roman"/>
                <w:b/>
                <w:i w:val="0"/>
                <w:sz w:val="17"/>
              </w:rPr>
              <w:t>Precision</w:t>
            </w:r>
          </w:p>
        </w:tc>
        <w:tc>
          <w:tcPr>
            <w:tcW w:type="dxa" w:w="1680"/>
            <w:vAlign w:val="top"/>
            <w:shd w:fill="E8EEF5"/>
          </w:tcPr>
          <w:p>
            <w:pPr>
              <w:spacing w:after="0"/>
            </w:pPr>
            <w:r/>
            <w:r>
              <w:rPr>
                <w:rFonts w:ascii="Times New Roman" w:hAnsi="Times New Roman"/>
                <w:b/>
                <w:i w:val="0"/>
                <w:sz w:val="17"/>
              </w:rPr>
              <w:t>Recall</w:t>
            </w:r>
          </w:p>
        </w:tc>
        <w:tc>
          <w:tcPr>
            <w:tcW w:type="dxa" w:w="1680"/>
            <w:vAlign w:val="top"/>
            <w:shd w:fill="E8EEF5"/>
          </w:tcPr>
          <w:p>
            <w:pPr>
              <w:spacing w:after="0"/>
            </w:pPr>
            <w:r/>
            <w:r>
              <w:rPr>
                <w:rFonts w:ascii="Times New Roman" w:hAnsi="Times New Roman"/>
                <w:b/>
                <w:i w:val="0"/>
                <w:sz w:val="17"/>
              </w:rPr>
              <w:t>F1</w:t>
            </w:r>
          </w:p>
        </w:tc>
        <w:tc>
          <w:tcPr>
            <w:tcW w:type="dxa" w:w="1680"/>
            <w:vAlign w:val="top"/>
            <w:shd w:fill="E8EEF5"/>
          </w:tcPr>
          <w:p>
            <w:pPr>
              <w:spacing w:after="0"/>
            </w:pPr>
            <w:r/>
            <w:r>
              <w:rPr>
                <w:rFonts w:ascii="Times New Roman" w:hAnsi="Times New Roman"/>
                <w:b/>
                <w:i w:val="0"/>
                <w:sz w:val="17"/>
              </w:rPr>
              <w:t>AUC</w:t>
            </w:r>
          </w:p>
        </w:tc>
      </w:tr>
      <w:tr>
        <w:tc>
          <w:tcPr>
            <w:tcW w:type="dxa" w:w="1680"/>
            <w:vAlign w:val="top"/>
          </w:tcPr>
          <w:p>
            <w:pPr>
              <w:spacing w:after="0"/>
            </w:pPr>
            <w:r/>
            <w:r>
              <w:rPr>
                <w:rFonts w:ascii="Times New Roman" w:hAnsi="Times New Roman"/>
                <w:b w:val="0"/>
                <w:i w:val="0"/>
                <w:sz w:val="17"/>
              </w:rPr>
              <w:t>Selected checkpoint</w:t>
            </w:r>
          </w:p>
        </w:tc>
        <w:tc>
          <w:tcPr>
            <w:tcW w:type="dxa" w:w="1680"/>
            <w:vAlign w:val="top"/>
          </w:tcPr>
          <w:p>
            <w:pPr>
              <w:spacing w:after="0"/>
            </w:pPr>
            <w:r/>
            <w:r>
              <w:rPr>
                <w:rFonts w:ascii="Times New Roman" w:hAnsi="Times New Roman"/>
                <w:b w:val="0"/>
                <w:i w:val="0"/>
                <w:sz w:val="17"/>
              </w:rPr>
              <w:t>57.67%</w:t>
            </w:r>
          </w:p>
        </w:tc>
        <w:tc>
          <w:tcPr>
            <w:tcW w:type="dxa" w:w="1680"/>
            <w:vAlign w:val="top"/>
          </w:tcPr>
          <w:p>
            <w:pPr>
              <w:spacing w:after="0"/>
            </w:pPr>
            <w:r/>
            <w:r>
              <w:rPr>
                <w:rFonts w:ascii="Times New Roman" w:hAnsi="Times New Roman"/>
                <w:b w:val="0"/>
                <w:i w:val="0"/>
                <w:sz w:val="17"/>
              </w:rPr>
              <w:t>0.4688</w:t>
            </w:r>
          </w:p>
        </w:tc>
        <w:tc>
          <w:tcPr>
            <w:tcW w:type="dxa" w:w="1680"/>
            <w:vAlign w:val="top"/>
          </w:tcPr>
          <w:p>
            <w:pPr>
              <w:spacing w:after="0"/>
            </w:pPr>
            <w:r/>
            <w:r>
              <w:rPr>
                <w:rFonts w:ascii="Times New Roman" w:hAnsi="Times New Roman"/>
                <w:b w:val="0"/>
                <w:i w:val="0"/>
                <w:sz w:val="17"/>
              </w:rPr>
              <w:t>0.4255</w:t>
            </w:r>
          </w:p>
        </w:tc>
        <w:tc>
          <w:tcPr>
            <w:tcW w:type="dxa" w:w="1680"/>
            <w:vAlign w:val="top"/>
          </w:tcPr>
          <w:p>
            <w:pPr>
              <w:spacing w:after="0"/>
            </w:pPr>
            <w:r/>
            <w:r>
              <w:rPr>
                <w:rFonts w:ascii="Times New Roman" w:hAnsi="Times New Roman"/>
                <w:b w:val="0"/>
                <w:i w:val="0"/>
                <w:sz w:val="17"/>
              </w:rPr>
              <w:t>0.4461</w:t>
            </w:r>
          </w:p>
        </w:tc>
        <w:tc>
          <w:tcPr>
            <w:tcW w:type="dxa" w:w="1680"/>
            <w:vAlign w:val="top"/>
          </w:tcPr>
          <w:p>
            <w:pPr>
              <w:spacing w:after="0"/>
            </w:pPr>
            <w:r/>
            <w:r>
              <w:rPr>
                <w:rFonts w:ascii="Times New Roman" w:hAnsi="Times New Roman"/>
                <w:b w:val="0"/>
                <w:i w:val="0"/>
                <w:sz w:val="17"/>
              </w:rPr>
              <w:t>0.6597</w:t>
            </w:r>
          </w:p>
        </w:tc>
      </w:tr>
      <w:tr>
        <w:tc>
          <w:tcPr>
            <w:tcW w:type="dxa" w:w="1680"/>
            <w:vAlign w:val="top"/>
          </w:tcPr>
          <w:p>
            <w:pPr>
              <w:spacing w:after="0"/>
            </w:pPr>
            <w:r/>
            <w:r>
              <w:rPr>
                <w:rFonts w:ascii="Times New Roman" w:hAnsi="Times New Roman"/>
                <w:b w:val="0"/>
                <w:i w:val="0"/>
                <w:sz w:val="17"/>
              </w:rPr>
              <w:t>Recall-oriented candidate</w:t>
            </w:r>
          </w:p>
        </w:tc>
        <w:tc>
          <w:tcPr>
            <w:tcW w:type="dxa" w:w="1680"/>
            <w:vAlign w:val="top"/>
          </w:tcPr>
          <w:p>
            <w:pPr>
              <w:spacing w:after="0"/>
            </w:pPr>
            <w:r/>
            <w:r>
              <w:rPr>
                <w:rFonts w:ascii="Times New Roman" w:hAnsi="Times New Roman"/>
                <w:b w:val="0"/>
                <w:i w:val="0"/>
                <w:sz w:val="17"/>
              </w:rPr>
              <w:t>53.69%</w:t>
            </w:r>
          </w:p>
        </w:tc>
        <w:tc>
          <w:tcPr>
            <w:tcW w:type="dxa" w:w="1680"/>
            <w:vAlign w:val="top"/>
          </w:tcPr>
          <w:p>
            <w:pPr>
              <w:spacing w:after="0"/>
            </w:pPr>
            <w:r/>
            <w:r>
              <w:rPr>
                <w:rFonts w:ascii="Times New Roman" w:hAnsi="Times New Roman"/>
                <w:b w:val="0"/>
                <w:i w:val="0"/>
                <w:sz w:val="17"/>
              </w:rPr>
              <w:t>0.4567</w:t>
            </w:r>
          </w:p>
        </w:tc>
        <w:tc>
          <w:tcPr>
            <w:tcW w:type="dxa" w:w="1680"/>
            <w:vAlign w:val="top"/>
          </w:tcPr>
          <w:p>
            <w:pPr>
              <w:spacing w:after="0"/>
            </w:pPr>
            <w:r/>
            <w:r>
              <w:rPr>
                <w:rFonts w:ascii="Times New Roman" w:hAnsi="Times New Roman"/>
                <w:b w:val="0"/>
                <w:i w:val="0"/>
                <w:sz w:val="17"/>
              </w:rPr>
              <w:t>0.8227</w:t>
            </w:r>
          </w:p>
        </w:tc>
        <w:tc>
          <w:tcPr>
            <w:tcW w:type="dxa" w:w="1680"/>
            <w:vAlign w:val="top"/>
          </w:tcPr>
          <w:p>
            <w:pPr>
              <w:spacing w:after="0"/>
            </w:pPr>
            <w:r/>
            <w:r>
              <w:rPr>
                <w:rFonts w:ascii="Times New Roman" w:hAnsi="Times New Roman"/>
                <w:b w:val="0"/>
                <w:i w:val="0"/>
                <w:sz w:val="17"/>
              </w:rPr>
              <w:t>0.5873</w:t>
            </w:r>
          </w:p>
        </w:tc>
        <w:tc>
          <w:tcPr>
            <w:tcW w:type="dxa" w:w="1680"/>
            <w:vAlign w:val="top"/>
          </w:tcPr>
          <w:p>
            <w:pPr>
              <w:spacing w:after="0"/>
            </w:pPr>
            <w:r/>
            <w:r>
              <w:rPr>
                <w:rFonts w:ascii="Times New Roman" w:hAnsi="Times New Roman"/>
                <w:b w:val="0"/>
                <w:i w:val="0"/>
                <w:sz w:val="17"/>
              </w:rPr>
              <w:t>0.5454</w:t>
            </w:r>
          </w:p>
        </w:tc>
      </w:tr>
    </w:tbl>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E8EEF5"/>
          </w:tcPr>
          <w:p>
            <w:pPr>
              <w:spacing w:after="0"/>
            </w:pPr>
            <w:r/>
            <w:r>
              <w:rPr>
                <w:rFonts w:ascii="Times New Roman" w:hAnsi="Times New Roman"/>
                <w:b/>
                <w:i w:val="0"/>
                <w:sz w:val="17"/>
              </w:rPr>
              <w:t>Experiment</w:t>
            </w:r>
          </w:p>
        </w:tc>
        <w:tc>
          <w:tcPr>
            <w:tcW w:type="dxa" w:w="2520"/>
            <w:vAlign w:val="top"/>
            <w:shd w:fill="E8EEF5"/>
          </w:tcPr>
          <w:p>
            <w:pPr>
              <w:spacing w:after="0"/>
            </w:pPr>
            <w:r/>
            <w:r>
              <w:rPr>
                <w:rFonts w:ascii="Times New Roman" w:hAnsi="Times New Roman"/>
                <w:b/>
                <w:i w:val="0"/>
                <w:sz w:val="17"/>
              </w:rPr>
              <w:t>Evidence</w:t>
            </w:r>
          </w:p>
        </w:tc>
        <w:tc>
          <w:tcPr>
            <w:tcW w:type="dxa" w:w="2520"/>
            <w:vAlign w:val="top"/>
            <w:shd w:fill="E8EEF5"/>
          </w:tcPr>
          <w:p>
            <w:pPr>
              <w:spacing w:after="0"/>
            </w:pPr>
            <w:r/>
            <w:r>
              <w:rPr>
                <w:rFonts w:ascii="Times New Roman" w:hAnsi="Times New Roman"/>
                <w:b/>
                <w:i w:val="0"/>
                <w:sz w:val="17"/>
              </w:rPr>
              <w:t>Result</w:t>
            </w:r>
          </w:p>
        </w:tc>
        <w:tc>
          <w:tcPr>
            <w:tcW w:type="dxa" w:w="2520"/>
            <w:vAlign w:val="top"/>
            <w:shd w:fill="E8EEF5"/>
          </w:tcPr>
          <w:p>
            <w:pPr>
              <w:spacing w:after="0"/>
            </w:pPr>
            <w:r/>
            <w:r>
              <w:rPr>
                <w:rFonts w:ascii="Times New Roman" w:hAnsi="Times New Roman"/>
                <w:b/>
                <w:i w:val="0"/>
                <w:sz w:val="17"/>
              </w:rPr>
              <w:t>Limitation</w:t>
            </w:r>
          </w:p>
        </w:tc>
      </w:tr>
      <w:tr>
        <w:tc>
          <w:tcPr>
            <w:tcW w:type="dxa" w:w="2520"/>
            <w:vAlign w:val="top"/>
          </w:tcPr>
          <w:p>
            <w:pPr>
              <w:spacing w:after="0"/>
            </w:pPr>
            <w:r/>
            <w:r>
              <w:rPr>
                <w:rFonts w:ascii="Times New Roman" w:hAnsi="Times New Roman"/>
                <w:b w:val="0"/>
                <w:i w:val="0"/>
                <w:sz w:val="17"/>
              </w:rPr>
              <w:t>Selected validation</w:t>
            </w:r>
          </w:p>
        </w:tc>
        <w:tc>
          <w:tcPr>
            <w:tcW w:type="dxa" w:w="2520"/>
            <w:vAlign w:val="top"/>
          </w:tcPr>
          <w:p>
            <w:pPr>
              <w:spacing w:after="0"/>
            </w:pPr>
            <w:r/>
            <w:r>
              <w:rPr>
                <w:rFonts w:ascii="Times New Roman" w:hAnsi="Times New Roman"/>
                <w:b w:val="0"/>
                <w:i w:val="0"/>
                <w:sz w:val="17"/>
              </w:rPr>
              <w:t>classification_report.txt</w:t>
            </w:r>
          </w:p>
        </w:tc>
        <w:tc>
          <w:tcPr>
            <w:tcW w:type="dxa" w:w="2520"/>
            <w:vAlign w:val="top"/>
          </w:tcPr>
          <w:p>
            <w:pPr>
              <w:spacing w:after="0"/>
            </w:pPr>
            <w:r/>
            <w:r>
              <w:rPr>
                <w:rFonts w:ascii="Times New Roman" w:hAnsi="Times New Roman"/>
                <w:b w:val="0"/>
                <w:i w:val="0"/>
                <w:sz w:val="17"/>
              </w:rPr>
              <w:t>57.67% accuracy, 0.6597 AUC</w:t>
            </w:r>
          </w:p>
        </w:tc>
        <w:tc>
          <w:tcPr>
            <w:tcW w:type="dxa" w:w="2520"/>
            <w:vAlign w:val="top"/>
          </w:tcPr>
          <w:p>
            <w:pPr>
              <w:spacing w:after="0"/>
            </w:pPr>
            <w:r/>
            <w:r>
              <w:rPr>
                <w:rFonts w:ascii="Times New Roman" w:hAnsi="Times New Roman"/>
                <w:b w:val="0"/>
                <w:i w:val="0"/>
                <w:sz w:val="17"/>
              </w:rPr>
              <w:t>No external test set.</w:t>
            </w:r>
          </w:p>
        </w:tc>
      </w:tr>
      <w:tr>
        <w:tc>
          <w:tcPr>
            <w:tcW w:type="dxa" w:w="2520"/>
            <w:vAlign w:val="top"/>
          </w:tcPr>
          <w:p>
            <w:pPr>
              <w:spacing w:after="0"/>
            </w:pPr>
            <w:r/>
            <w:r>
              <w:rPr>
                <w:rFonts w:ascii="Times New Roman" w:hAnsi="Times New Roman"/>
                <w:b w:val="0"/>
                <w:i w:val="0"/>
                <w:sz w:val="17"/>
              </w:rPr>
              <w:t>Recall candidate</w:t>
            </w:r>
          </w:p>
        </w:tc>
        <w:tc>
          <w:tcPr>
            <w:tcW w:type="dxa" w:w="2520"/>
            <w:vAlign w:val="top"/>
          </w:tcPr>
          <w:p>
            <w:pPr>
              <w:spacing w:after="0"/>
            </w:pPr>
            <w:r/>
            <w:r>
              <w:rPr>
                <w:rFonts w:ascii="Times New Roman" w:hAnsi="Times New Roman"/>
                <w:b w:val="0"/>
                <w:i w:val="0"/>
                <w:sz w:val="17"/>
              </w:rPr>
              <w:t>retrained_candidate report</w:t>
            </w:r>
          </w:p>
        </w:tc>
        <w:tc>
          <w:tcPr>
            <w:tcW w:type="dxa" w:w="2520"/>
            <w:vAlign w:val="top"/>
          </w:tcPr>
          <w:p>
            <w:pPr>
              <w:spacing w:after="0"/>
            </w:pPr>
            <w:r/>
            <w:r>
              <w:rPr>
                <w:rFonts w:ascii="Times New Roman" w:hAnsi="Times New Roman"/>
                <w:b w:val="0"/>
                <w:i w:val="0"/>
                <w:sz w:val="17"/>
              </w:rPr>
              <w:t>0.8227 recall, 0.5873 F1</w:t>
            </w:r>
          </w:p>
        </w:tc>
        <w:tc>
          <w:tcPr>
            <w:tcW w:type="dxa" w:w="2520"/>
            <w:vAlign w:val="top"/>
          </w:tcPr>
          <w:p>
            <w:pPr>
              <w:spacing w:after="0"/>
            </w:pPr>
            <w:r/>
            <w:r>
              <w:rPr>
                <w:rFonts w:ascii="Times New Roman" w:hAnsi="Times New Roman"/>
                <w:b w:val="0"/>
                <w:i w:val="0"/>
                <w:sz w:val="17"/>
              </w:rPr>
              <w:t>Lower AUC and accuracy.</w:t>
            </w:r>
          </w:p>
        </w:tc>
      </w:tr>
      <w:tr>
        <w:tc>
          <w:tcPr>
            <w:tcW w:type="dxa" w:w="2520"/>
            <w:vAlign w:val="top"/>
          </w:tcPr>
          <w:p>
            <w:pPr>
              <w:spacing w:after="0"/>
            </w:pPr>
            <w:r/>
            <w:r>
              <w:rPr>
                <w:rFonts w:ascii="Times New Roman" w:hAnsi="Times New Roman"/>
                <w:b w:val="0"/>
                <w:i w:val="0"/>
                <w:sz w:val="17"/>
              </w:rPr>
              <w:t>Training dynamics</w:t>
            </w:r>
          </w:p>
        </w:tc>
        <w:tc>
          <w:tcPr>
            <w:tcW w:type="dxa" w:w="2520"/>
            <w:vAlign w:val="top"/>
          </w:tcPr>
          <w:p>
            <w:pPr>
              <w:spacing w:after="0"/>
            </w:pPr>
            <w:r/>
            <w:r>
              <w:rPr>
                <w:rFonts w:ascii="Times New Roman" w:hAnsi="Times New Roman"/>
                <w:b w:val="0"/>
                <w:i w:val="0"/>
                <w:sz w:val="17"/>
              </w:rPr>
              <w:t>history JSON and plots</w:t>
            </w:r>
          </w:p>
        </w:tc>
        <w:tc>
          <w:tcPr>
            <w:tcW w:type="dxa" w:w="2520"/>
            <w:vAlign w:val="top"/>
          </w:tcPr>
          <w:p>
            <w:pPr>
              <w:spacing w:after="0"/>
            </w:pPr>
            <w:r/>
            <w:r>
              <w:rPr>
                <w:rFonts w:ascii="Times New Roman" w:hAnsi="Times New Roman"/>
                <w:b w:val="0"/>
                <w:i w:val="0"/>
                <w:sz w:val="17"/>
              </w:rPr>
              <w:t>Overfitting pressure visible</w:t>
            </w:r>
          </w:p>
        </w:tc>
        <w:tc>
          <w:tcPr>
            <w:tcW w:type="dxa" w:w="2520"/>
            <w:vAlign w:val="top"/>
          </w:tcPr>
          <w:p>
            <w:pPr>
              <w:spacing w:after="0"/>
            </w:pPr>
            <w:r/>
            <w:r>
              <w:rPr>
                <w:rFonts w:ascii="Times New Roman" w:hAnsi="Times New Roman"/>
                <w:b w:val="0"/>
                <w:i w:val="0"/>
                <w:sz w:val="17"/>
              </w:rPr>
              <w:t>No repeated-run variance.</w:t>
            </w:r>
          </w:p>
        </w:tc>
      </w:tr>
      <w:tr>
        <w:tc>
          <w:tcPr>
            <w:tcW w:type="dxa" w:w="2520"/>
            <w:vAlign w:val="top"/>
          </w:tcPr>
          <w:p>
            <w:pPr>
              <w:spacing w:after="0"/>
            </w:pPr>
            <w:r/>
            <w:r>
              <w:rPr>
                <w:rFonts w:ascii="Times New Roman" w:hAnsi="Times New Roman"/>
                <w:b w:val="0"/>
                <w:i w:val="0"/>
                <w:sz w:val="17"/>
              </w:rPr>
              <w:t>End-to-end app</w:t>
            </w:r>
          </w:p>
        </w:tc>
        <w:tc>
          <w:tcPr>
            <w:tcW w:type="dxa" w:w="2520"/>
            <w:vAlign w:val="top"/>
          </w:tcPr>
          <w:p>
            <w:pPr>
              <w:spacing w:after="0"/>
            </w:pPr>
            <w:r/>
            <w:r>
              <w:rPr>
                <w:rFonts w:ascii="Times New Roman" w:hAnsi="Times New Roman"/>
                <w:b w:val="0"/>
                <w:i w:val="0"/>
                <w:sz w:val="17"/>
              </w:rPr>
              <w:t>Frontend/backend source</w:t>
            </w:r>
          </w:p>
        </w:tc>
        <w:tc>
          <w:tcPr>
            <w:tcW w:type="dxa" w:w="2520"/>
            <w:vAlign w:val="top"/>
          </w:tcPr>
          <w:p>
            <w:pPr>
              <w:spacing w:after="0"/>
            </w:pPr>
            <w:r/>
            <w:r>
              <w:rPr>
                <w:rFonts w:ascii="Times New Roman" w:hAnsi="Times New Roman"/>
                <w:b w:val="0"/>
                <w:i w:val="0"/>
                <w:sz w:val="17"/>
              </w:rPr>
              <w:t>Upload, inference, report workflow</w:t>
            </w:r>
          </w:p>
        </w:tc>
        <w:tc>
          <w:tcPr>
            <w:tcW w:type="dxa" w:w="2520"/>
            <w:vAlign w:val="top"/>
          </w:tcPr>
          <w:p>
            <w:pPr>
              <w:spacing w:after="0"/>
            </w:pPr>
            <w:r/>
            <w:r>
              <w:rPr>
                <w:rFonts w:ascii="Times New Roman" w:hAnsi="Times New Roman"/>
                <w:b w:val="0"/>
                <w:i w:val="0"/>
                <w:sz w:val="17"/>
              </w:rPr>
              <w:t>No latency benchmark.</w:t>
            </w:r>
          </w:p>
        </w:tc>
      </w:tr>
    </w:tbl>
    <w:p/>
    <w:p>
      <w:pPr>
        <w:jc w:val="center"/>
      </w:pPr>
      <w:r>
        <w:drawing>
          <wp:inline xmlns:a="http://schemas.openxmlformats.org/drawingml/2006/main" xmlns:pic="http://schemas.openxmlformats.org/drawingml/2006/picture">
            <wp:extent cx="5303520" cy="2313237"/>
            <wp:docPr id="3" name="Picture 3"/>
            <wp:cNvGraphicFramePr>
              <a:graphicFrameLocks noChangeAspect="1"/>
            </wp:cNvGraphicFramePr>
            <a:graphic>
              <a:graphicData uri="http://schemas.openxmlformats.org/drawingml/2006/picture">
                <pic:pic>
                  <pic:nvPicPr>
                    <pic:cNvPr id="0" name="metrics_summary.png"/>
                    <pic:cNvPicPr/>
                  </pic:nvPicPr>
                  <pic:blipFill>
                    <a:blip r:embed="rId11"/>
                    <a:stretch>
                      <a:fillRect/>
                    </a:stretch>
                  </pic:blipFill>
                  <pic:spPr>
                    <a:xfrm>
                      <a:off x="0" y="0"/>
                      <a:ext cx="5303520" cy="2313237"/>
                    </a:xfrm>
                    <a:prstGeom prst="rect"/>
                  </pic:spPr>
                </pic:pic>
              </a:graphicData>
            </a:graphic>
          </wp:inline>
        </w:drawing>
      </w:r>
    </w:p>
    <w:p>
      <w:pPr>
        <w:spacing w:after="80" w:line="252" w:lineRule="auto"/>
        <w:jc w:val="center"/>
      </w:pPr>
      <w:r>
        <w:rPr>
          <w:rFonts w:ascii="Times New Roman" w:hAnsi="Times New Roman"/>
          <w:b w:val="0"/>
          <w:i/>
          <w:sz w:val="16"/>
        </w:rPr>
        <w:t>Fig. 3. Metric comparison between the selected checkpoint and recall-oriented candidate.</w:t>
      </w:r>
    </w:p>
    <w:p>
      <w:pPr>
        <w:jc w:val="center"/>
      </w:pPr>
      <w:r>
        <w:drawing>
          <wp:inline xmlns:a="http://schemas.openxmlformats.org/drawingml/2006/main" xmlns:pic="http://schemas.openxmlformats.org/drawingml/2006/picture">
            <wp:extent cx="5303520" cy="441960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303520" cy="4419600"/>
                    </a:xfrm>
                    <a:prstGeom prst="rect"/>
                  </pic:spPr>
                </pic:pic>
              </a:graphicData>
            </a:graphic>
          </wp:inline>
        </w:drawing>
      </w:r>
    </w:p>
    <w:p>
      <w:pPr>
        <w:spacing w:after="80" w:line="252" w:lineRule="auto"/>
        <w:jc w:val="center"/>
      </w:pPr>
      <w:r>
        <w:rPr>
          <w:rFonts w:ascii="Times New Roman" w:hAnsi="Times New Roman"/>
          <w:b w:val="0"/>
          <w:i/>
          <w:sz w:val="16"/>
        </w:rPr>
        <w:t>Fig. 4. Confusion matrix saved by the evaluation script.</w:t>
      </w:r>
    </w:p>
    <w:p>
      <w:pPr>
        <w:jc w:val="center"/>
      </w:pPr>
      <w:r>
        <w:drawing>
          <wp:inline xmlns:a="http://schemas.openxmlformats.org/drawingml/2006/main" xmlns:pic="http://schemas.openxmlformats.org/drawingml/2006/picture">
            <wp:extent cx="5303520" cy="4419600"/>
            <wp:docPr id="5" name="Picture 5"/>
            <wp:cNvGraphicFramePr>
              <a:graphicFrameLocks noChangeAspect="1"/>
            </wp:cNvGraphicFramePr>
            <a:graphic>
              <a:graphicData uri="http://schemas.openxmlformats.org/drawingml/2006/picture">
                <pic:pic>
                  <pic:nvPicPr>
                    <pic:cNvPr id="0" name="roc_curve.png"/>
                    <pic:cNvPicPr/>
                  </pic:nvPicPr>
                  <pic:blipFill>
                    <a:blip r:embed="rId13"/>
                    <a:stretch>
                      <a:fillRect/>
                    </a:stretch>
                  </pic:blipFill>
                  <pic:spPr>
                    <a:xfrm>
                      <a:off x="0" y="0"/>
                      <a:ext cx="5303520" cy="4419600"/>
                    </a:xfrm>
                    <a:prstGeom prst="rect"/>
                  </pic:spPr>
                </pic:pic>
              </a:graphicData>
            </a:graphic>
          </wp:inline>
        </w:drawing>
      </w:r>
    </w:p>
    <w:p>
      <w:pPr>
        <w:spacing w:after="80" w:line="252" w:lineRule="auto"/>
        <w:jc w:val="center"/>
      </w:pPr>
      <w:r>
        <w:rPr>
          <w:rFonts w:ascii="Times New Roman" w:hAnsi="Times New Roman"/>
          <w:b w:val="0"/>
          <w:i/>
          <w:sz w:val="16"/>
        </w:rPr>
        <w:t>Fig. 5. ROC curve saved by the evaluation script.</w:t>
      </w:r>
    </w:p>
    <w:p>
      <w:pPr>
        <w:jc w:val="center"/>
      </w:pPr>
      <w:r>
        <w:drawing>
          <wp:inline xmlns:a="http://schemas.openxmlformats.org/drawingml/2006/main" xmlns:pic="http://schemas.openxmlformats.org/drawingml/2006/picture">
            <wp:extent cx="5303520" cy="3535680"/>
            <wp:docPr id="6" name="Picture 6"/>
            <wp:cNvGraphicFramePr>
              <a:graphicFrameLocks noChangeAspect="1"/>
            </wp:cNvGraphicFramePr>
            <a:graphic>
              <a:graphicData uri="http://schemas.openxmlformats.org/drawingml/2006/picture">
                <pic:pic>
                  <pic:nvPicPr>
                    <pic:cNvPr id="0" name="accuracy_history.png"/>
                    <pic:cNvPicPr/>
                  </pic:nvPicPr>
                  <pic:blipFill>
                    <a:blip r:embed="rId14"/>
                    <a:stretch>
                      <a:fillRect/>
                    </a:stretch>
                  </pic:blipFill>
                  <pic:spPr>
                    <a:xfrm>
                      <a:off x="0" y="0"/>
                      <a:ext cx="5303520" cy="3535680"/>
                    </a:xfrm>
                    <a:prstGeom prst="rect"/>
                  </pic:spPr>
                </pic:pic>
              </a:graphicData>
            </a:graphic>
          </wp:inline>
        </w:drawing>
      </w:r>
    </w:p>
    <w:p>
      <w:pPr>
        <w:spacing w:after="80" w:line="252" w:lineRule="auto"/>
        <w:jc w:val="center"/>
      </w:pPr>
      <w:r>
        <w:rPr>
          <w:rFonts w:ascii="Times New Roman" w:hAnsi="Times New Roman"/>
          <w:b w:val="0"/>
          <w:i/>
          <w:sz w:val="16"/>
        </w:rPr>
        <w:t>Fig. 6. Training and validation accuracy history.</w:t>
      </w:r>
    </w:p>
    <w:p>
      <w:pPr>
        <w:jc w:val="center"/>
      </w:pPr>
      <w:r>
        <w:drawing>
          <wp:inline xmlns:a="http://schemas.openxmlformats.org/drawingml/2006/main" xmlns:pic="http://schemas.openxmlformats.org/drawingml/2006/picture">
            <wp:extent cx="5303520" cy="3535680"/>
            <wp:docPr id="7" name="Picture 7"/>
            <wp:cNvGraphicFramePr>
              <a:graphicFrameLocks noChangeAspect="1"/>
            </wp:cNvGraphicFramePr>
            <a:graphic>
              <a:graphicData uri="http://schemas.openxmlformats.org/drawingml/2006/picture">
                <pic:pic>
                  <pic:nvPicPr>
                    <pic:cNvPr id="0" name="loss_history.png"/>
                    <pic:cNvPicPr/>
                  </pic:nvPicPr>
                  <pic:blipFill>
                    <a:blip r:embed="rId15"/>
                    <a:stretch>
                      <a:fillRect/>
                    </a:stretch>
                  </pic:blipFill>
                  <pic:spPr>
                    <a:xfrm>
                      <a:off x="0" y="0"/>
                      <a:ext cx="5303520" cy="3535680"/>
                    </a:xfrm>
                    <a:prstGeom prst="rect"/>
                  </pic:spPr>
                </pic:pic>
              </a:graphicData>
            </a:graphic>
          </wp:inline>
        </w:drawing>
      </w:r>
    </w:p>
    <w:p>
      <w:pPr>
        <w:spacing w:after="80" w:line="252" w:lineRule="auto"/>
        <w:jc w:val="center"/>
      </w:pPr>
      <w:r>
        <w:rPr>
          <w:rFonts w:ascii="Times New Roman" w:hAnsi="Times New Roman"/>
          <w:b w:val="0"/>
          <w:i/>
          <w:sz w:val="16"/>
        </w:rPr>
        <w:t>Fig. 7. Training and validation loss history.</w:t>
      </w:r>
    </w:p>
    <w:p>
      <w:pPr>
        <w:spacing w:after="80" w:line="252" w:lineRule="auto"/>
      </w:pPr>
      <w:r>
        <w:rPr>
          <w:rFonts w:ascii="Times New Roman" w:hAnsi="Times New Roman"/>
          <w:b/>
          <w:i w:val="0"/>
          <w:sz w:val="24"/>
        </w:rPr>
        <w:t>VI. DISCUSSION</w:t>
      </w:r>
    </w:p>
    <w:p>
      <w:pPr>
        <w:spacing w:after="80" w:line="252" w:lineRule="auto"/>
      </w:pPr>
      <w:r>
        <w:rPr>
          <w:rFonts w:ascii="Times New Roman" w:hAnsi="Times New Roman"/>
          <w:b w:val="0"/>
          <w:i w:val="0"/>
          <w:sz w:val="20"/>
        </w:rPr>
        <w:t>The final prototype demonstrates a functioning end-to-end visual screening system. Its main engineering improvement over the mid-semester version is the transition from a conceptual two-stream slide model to a deployed temporal pipeline with feature extraction, model inference, frontend interaction, probability display, and report generation. The main research improvement is the addition of bidirectional temporal modeling and attention.</w:t>
      </w:r>
    </w:p>
    <w:p>
      <w:pPr>
        <w:spacing w:after="80" w:line="252" w:lineRule="auto"/>
      </w:pPr>
      <w:r>
        <w:rPr>
          <w:rFonts w:ascii="Times New Roman" w:hAnsi="Times New Roman"/>
          <w:b w:val="0"/>
          <w:i w:val="0"/>
          <w:sz w:val="20"/>
        </w:rPr>
        <w:t>The quantitative results do not support a clinical deployment claim. The selected checkpoint's AUC-ROC of 0.6597 suggests that the probability scores contain some discriminative information, but the depressed-class recall of 0.4255 is not acceptable for a high-sensitivity screening use case without further calibration and validation.</w:t>
      </w:r>
    </w:p>
    <w:p>
      <w:pPr>
        <w:spacing w:after="80" w:line="252" w:lineRule="auto"/>
      </w:pPr>
      <w:r>
        <w:rPr>
          <w:rFonts w:ascii="Times New Roman" w:hAnsi="Times New Roman"/>
          <w:b w:val="0"/>
          <w:i w:val="0"/>
          <w:sz w:val="20"/>
        </w:rPr>
        <w:t>The deployed body stream is narrower than the original mid-semester concept. The mid-semester deck described 33 body landmarks and a 132-dimensional pose vector; the final implementation uses only two shoulder landmarks and an 8-dimensional pose vector. This verified implementation difference should be described transparently.</w:t>
      </w:r>
    </w:p>
    <w:p>
      <w:pPr>
        <w:spacing w:after="80" w:line="252" w:lineRule="auto"/>
      </w:pPr>
      <w:r>
        <w:rPr>
          <w:rFonts w:ascii="Times New Roman" w:hAnsi="Times New Roman"/>
          <w:b/>
          <w:i w:val="0"/>
          <w:sz w:val="24"/>
        </w:rPr>
        <w:t>VII. ETHICS AND LIMITATIONS</w:t>
      </w:r>
    </w:p>
    <w:p>
      <w:pPr>
        <w:spacing w:after="80" w:line="252" w:lineRule="auto"/>
      </w:pPr>
      <w:r>
        <w:rPr>
          <w:rFonts w:ascii="Times New Roman" w:hAnsi="Times New Roman"/>
          <w:b w:val="0"/>
          <w:i w:val="0"/>
          <w:sz w:val="20"/>
        </w:rPr>
        <w:t>This system processes interview video, which is sensitive behavioral and biometric data. Any deployment outside a controlled academic demonstration would require informed consent, secure storage, retention limits, access control, and ethics approval. The generated reports must not be treated as medical diagnoses.</w:t>
      </w:r>
    </w:p>
    <w:p>
      <w:pPr>
        <w:spacing w:after="80" w:line="252" w:lineRule="auto"/>
      </w:pPr>
      <w:r>
        <w:rPr>
          <w:rFonts w:ascii="Times New Roman" w:hAnsi="Times New Roman"/>
          <w:b w:val="0"/>
          <w:i w:val="0"/>
          <w:sz w:val="20"/>
        </w:rPr>
        <w:t>The main limitations are validation scope, incomplete dataset provenance, limited pose representation, absence of ablation experiments, absence of repeated-run statistics, absence of calibration analysis, no latency benchmark, and no clinical validation. The current evaluation should be treated as prototype evidence rather than clinical evidence.</w:t>
      </w:r>
    </w:p>
    <w:p>
      <w:pPr>
        <w:spacing w:after="80" w:line="252" w:lineRule="auto"/>
      </w:pPr>
      <w:r>
        <w:rPr>
          <w:rFonts w:ascii="Times New Roman" w:hAnsi="Times New Roman"/>
          <w:b w:val="0"/>
          <w:i w:val="0"/>
          <w:sz w:val="20"/>
        </w:rPr>
        <w:t>A model-version consistency issue also exists: the current evaluation source instantiates TSFFM_LSTM with one LSTM layer, whereas training and inference instantiate the model with two LSTM layers. The saved metric files are reported as repository artifacts, but exact reproduction requires aligning these scripts.</w:t>
      </w:r>
    </w:p>
    <w:p>
      <w:pPr>
        <w:spacing w:after="80" w:line="252" w:lineRule="auto"/>
      </w:pPr>
      <w:r>
        <w:rPr>
          <w:rFonts w:ascii="Times New Roman" w:hAnsi="Times New Roman"/>
          <w:b/>
          <w:i w:val="0"/>
          <w:sz w:val="24"/>
        </w:rPr>
        <w:t>VIII. FUTURE WORK AND CONCLUSION</w:t>
      </w:r>
    </w:p>
    <w:p>
      <w:pPr>
        <w:spacing w:after="80" w:line="252" w:lineRule="auto"/>
      </w:pPr>
      <w:r>
        <w:rPr>
          <w:rFonts w:ascii="Times New Roman" w:hAnsi="Times New Roman"/>
          <w:b w:val="0"/>
          <w:i w:val="0"/>
          <w:sz w:val="20"/>
        </w:rPr>
        <w:t>The most important next step is to improve validation quality before increasing model complexity. A publishable extension should include participant-level split documentation, external test evaluation, repeated runs with confidence intervals, and ablations for face stream, pose stream, fusion, temporal convolution, LSTM, and attention.</w:t>
      </w:r>
    </w:p>
    <w:p>
      <w:pPr>
        <w:spacing w:after="80" w:line="252" w:lineRule="auto"/>
      </w:pPr>
      <w:r>
        <w:rPr>
          <w:rFonts w:ascii="Times New Roman" w:hAnsi="Times New Roman"/>
          <w:b w:val="0"/>
          <w:i w:val="0"/>
          <w:sz w:val="20"/>
        </w:rPr>
        <w:t>The model should also be extended to richer multimodal evidence. Audio prosody, pause duration, speech rate, and transcript semantics are strongly relevant to depression interviews and are used in prior DAIC-WOZ studies. A tri-stream architecture combining visual landmarks, acoustic descriptors, and transcript embeddings would better match the multimodal nature of clinical interviews.</w:t>
      </w:r>
    </w:p>
    <w:p>
      <w:pPr>
        <w:spacing w:after="80" w:line="252" w:lineRule="auto"/>
      </w:pPr>
      <w:r>
        <w:rPr>
          <w:rFonts w:ascii="Times New Roman" w:hAnsi="Times New Roman"/>
          <w:b w:val="0"/>
          <w:i w:val="0"/>
          <w:sz w:val="20"/>
        </w:rPr>
        <w:t>This paper presented an implementation-grounded TSFFM prototype for AI-assisted depression screening from interview video. The system extracts visual landmarks, fuses facial and pose streams, models temporal behavior with a bidirectional LSTM and attention, and exposes the model through a web application with report generation. The current evidence supports the claim that the prototype functions end to end and learns measurable validation signal. It does not support claims of clinical readiness, generalizable diagnostic performance, or deployment safety.</w:t>
      </w:r>
    </w:p>
    <w:p>
      <w:pPr>
        <w:spacing w:after="80" w:line="252" w:lineRule="auto"/>
      </w:pPr>
      <w:r>
        <w:rPr>
          <w:rFonts w:ascii="Times New Roman" w:hAnsi="Times New Roman"/>
          <w:b/>
          <w:i w:val="0"/>
          <w:sz w:val="24"/>
        </w:rPr>
        <w:t>Medical Disclaimer</w:t>
      </w:r>
    </w:p>
    <w:p>
      <w:pPr>
        <w:spacing w:after="80" w:line="252" w:lineRule="auto"/>
      </w:pPr>
      <w:r>
        <w:rPr>
          <w:rFonts w:ascii="Times New Roman" w:hAnsi="Times New Roman"/>
          <w:b w:val="0"/>
          <w:i w:val="0"/>
          <w:sz w:val="20"/>
        </w:rPr>
        <w:t>The system described here is an AI-assisted screening prototype. It is not a diagnostic device and must not be used for medical decisions without professional clinical validation and qualified mental-health oversight.</w:t>
      </w:r>
    </w:p>
    <w:p>
      <w:pPr>
        <w:spacing w:after="80" w:line="252" w:lineRule="auto"/>
      </w:pPr>
      <w:r>
        <w:rPr>
          <w:rFonts w:ascii="Times New Roman" w:hAnsi="Times New Roman"/>
          <w:b/>
          <w:i w:val="0"/>
          <w:sz w:val="24"/>
        </w:rPr>
        <w:t>References</w:t>
      </w:r>
    </w:p>
    <w:p>
      <w:pPr>
        <w:spacing w:after="80" w:line="252" w:lineRule="auto"/>
      </w:pPr>
      <w:r>
        <w:rPr>
          <w:rFonts w:ascii="Times New Roman" w:hAnsi="Times New Roman"/>
          <w:b w:val="0"/>
          <w:i w:val="0"/>
          <w:sz w:val="16"/>
        </w:rPr>
        <w:t>[1] World Health Organization, "Depressive disorder (depression)," Aug. 29, 2025. Available: https://www.who.int/news-room/fact-sheets/detail/depression.</w:t>
      </w:r>
    </w:p>
    <w:p>
      <w:pPr>
        <w:spacing w:after="80" w:line="252" w:lineRule="auto"/>
      </w:pPr>
      <w:r>
        <w:rPr>
          <w:rFonts w:ascii="Times New Roman" w:hAnsi="Times New Roman"/>
          <w:b w:val="0"/>
          <w:i w:val="0"/>
          <w:sz w:val="16"/>
        </w:rPr>
        <w:t>[2] J. Gratch et al., "The Distress Analysis Interview Corpus of human and computer interviews," Proc. LREC, 2014.</w:t>
      </w:r>
    </w:p>
    <w:p>
      <w:pPr>
        <w:spacing w:after="80" w:line="252" w:lineRule="auto"/>
      </w:pPr>
      <w:r>
        <w:rPr>
          <w:rFonts w:ascii="Times New Roman" w:hAnsi="Times New Roman"/>
          <w:b w:val="0"/>
          <w:i w:val="0"/>
          <w:sz w:val="16"/>
        </w:rPr>
        <w:t>[3] USC Institute for Creative Technologies, "DAIC-WOZ Depression Database: Documentation for AVEC 2017," 2017.</w:t>
      </w:r>
    </w:p>
    <w:p>
      <w:pPr>
        <w:spacing w:after="80" w:line="252" w:lineRule="auto"/>
      </w:pPr>
      <w:r>
        <w:rPr>
          <w:rFonts w:ascii="Times New Roman" w:hAnsi="Times New Roman"/>
          <w:b w:val="0"/>
          <w:i w:val="0"/>
          <w:sz w:val="16"/>
        </w:rPr>
        <w:t>[4] F. Ringeval et al., "AVEC 2017: Real-life depression, and affect recognition workshop and challenge," Proc. AVEC, 2017.</w:t>
      </w:r>
    </w:p>
    <w:p>
      <w:pPr>
        <w:spacing w:after="80" w:line="252" w:lineRule="auto"/>
      </w:pPr>
      <w:r>
        <w:rPr>
          <w:rFonts w:ascii="Times New Roman" w:hAnsi="Times New Roman"/>
          <w:b w:val="0"/>
          <w:i w:val="0"/>
          <w:sz w:val="16"/>
        </w:rPr>
        <w:t>[5] W. Zhang, K. Mao, and J. Chen, "A multimodal approach for detection and assessment of depression using text, audio and video," Phenomics, vol. 4, no. 3, pp. 234-249, 2024.</w:t>
      </w:r>
    </w:p>
    <w:p>
      <w:pPr>
        <w:spacing w:after="80" w:line="252" w:lineRule="auto"/>
      </w:pPr>
      <w:r>
        <w:rPr>
          <w:rFonts w:ascii="Times New Roman" w:hAnsi="Times New Roman"/>
          <w:b w:val="0"/>
          <w:i w:val="0"/>
          <w:sz w:val="16"/>
        </w:rPr>
        <w:t>[6] Y. Kartynnik et al., "Real-time facial surface geometry from monocular video on mobile GPUs," arXiv:1907.06724, 2019.</w:t>
      </w:r>
    </w:p>
    <w:p>
      <w:pPr>
        <w:spacing w:after="80" w:line="252" w:lineRule="auto"/>
      </w:pPr>
      <w:r>
        <w:rPr>
          <w:rFonts w:ascii="Times New Roman" w:hAnsi="Times New Roman"/>
          <w:b w:val="0"/>
          <w:i w:val="0"/>
          <w:sz w:val="16"/>
        </w:rPr>
        <w:t>[7] I. Grishchenko et al., "BlazePose GHUM Holistic: Real-time 3D human landmarks and pose estimation," arXiv:2206.11678, 2022.</w:t>
      </w:r>
    </w:p>
    <w:p>
      <w:pPr>
        <w:spacing w:after="80" w:line="252" w:lineRule="auto"/>
      </w:pPr>
      <w:r>
        <w:rPr>
          <w:rFonts w:ascii="Times New Roman" w:hAnsi="Times New Roman"/>
          <w:b w:val="0"/>
          <w:i w:val="0"/>
          <w:sz w:val="16"/>
        </w:rPr>
        <w:t>[8] S. Hochreiter and J. Schmidhuber, "Long short-term memory," Neural Computation, vol. 9, no. 8, pp. 1735-1780, 1997.</w:t>
      </w:r>
    </w:p>
    <w:p>
      <w:pPr>
        <w:spacing w:after="80" w:line="252" w:lineRule="auto"/>
      </w:pPr>
      <w:r>
        <w:rPr>
          <w:rFonts w:ascii="Times New Roman" w:hAnsi="Times New Roman"/>
          <w:b w:val="0"/>
          <w:i w:val="0"/>
          <w:sz w:val="16"/>
        </w:rPr>
        <w:t>[9] T.-Y. Lin et al., "Focal loss for dense object detection," Proc. IEEE ICCV, pp. 2980-2988, 2017.</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