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Project 2: Supervised Learning</w:t>
      </w:r>
    </w:p>
    <w:p>
      <w:pPr>
        <w:spacing w:after="40"/>
        <w:jc w:val="center"/>
      </w:pPr>
      <w:r>
        <w:rPr>
          <w:rFonts w:ascii="Calibri" w:cs="Calibri" w:eastAsia="Calibri" w:hAnsi="Calibri"/>
          <w:b/>
          <w:bCs/>
          <w:color w:val="222222"/>
          <w:sz w:val="32"/>
          <w:szCs w:val="32"/>
        </w:rPr>
        <w:t xml:space="preserve">Fraud Detection Pipeline</w:t>
      </w:r>
    </w:p>
    <w:p>
      <w:pPr>
        <w:spacing w:after="300"/>
        <w:jc w:val="center"/>
      </w:pPr>
      <w:r>
        <w:rPr>
          <w:rFonts w:ascii="Calibri" w:cs="Calibri" w:eastAsia="Calibri" w:hAnsi="Calibri"/>
          <w:i/>
          <w:iCs/>
          <w:color w:val="555555"/>
          <w:sz w:val="22"/>
          <w:szCs w:val="22"/>
        </w:rPr>
        <w:t xml:space="preserve">DecodeLabs Data Science Industrial Training — 2026 Batch</w:t>
      </w:r>
    </w:p>
    <w:p>
      <w:pPr>
        <w:pStyle w:val="Heading1"/>
        <w:spacing w:after="140" w:before="320"/>
      </w:pPr>
      <w:r>
        <w:rPr>
          <w:rFonts w:ascii="Calibri" w:cs="Calibri" w:eastAsia="Calibri" w:hAnsi="Calibri"/>
          <w:b/>
          <w:bCs/>
          <w:color w:val="1F3864"/>
          <w:sz w:val="28"/>
          <w:szCs w:val="28"/>
        </w:rPr>
        <w:t xml:space="preserve">1. Objective</w:t>
      </w:r>
    </w:p>
    <w:p>
      <w:pPr>
        <w:spacing w:after="160"/>
      </w:pPr>
      <w:r>
        <w:rPr>
          <w:rFonts w:ascii="Calibri" w:cs="Calibri" w:eastAsia="Calibri" w:hAnsi="Calibri"/>
          <w:color w:val="222222"/>
          <w:sz w:val="22"/>
          <w:szCs w:val="22"/>
        </w:rPr>
        <w:t xml:space="preserve">Build and compare two classification models capable of identifying fraudulent transactions within a highly imbalanced, real-world financial dataset, and evaluate them using metrics that remain meaningful under extreme class imbalance.</w:t>
      </w:r>
    </w:p>
    <w:p>
      <w:pPr>
        <w:pStyle w:val="Heading1"/>
        <w:spacing w:after="140" w:before="320"/>
      </w:pPr>
      <w:r>
        <w:rPr>
          <w:rFonts w:ascii="Calibri" w:cs="Calibri" w:eastAsia="Calibri" w:hAnsi="Calibri"/>
          <w:b/>
          <w:bCs/>
          <w:color w:val="1F3864"/>
          <w:sz w:val="28"/>
          <w:szCs w:val="28"/>
        </w:rPr>
        <w:t xml:space="preserve">2. Dataset</w:t>
      </w:r>
    </w:p>
    <w:p>
      <w:pPr>
        <w:pStyle w:val="ListParagraph"/>
        <w:numPr>
          <w:ilvl w:val="0"/>
          <w:numId w:val="2"/>
        </w:numPr>
        <w:spacing w:after="80"/>
      </w:pPr>
      <w:r>
        <w:rPr>
          <w:rFonts w:ascii="Calibri" w:cs="Calibri" w:eastAsia="Calibri" w:hAnsi="Calibri"/>
          <w:color w:val="222222"/>
          <w:sz w:val="22"/>
          <w:szCs w:val="22"/>
        </w:rPr>
        <w:t xml:space="preserve">Source: public credit card transactions dataset, 284,807 rows, 31 columns.</w:t>
      </w:r>
    </w:p>
    <w:p>
      <w:pPr>
        <w:pStyle w:val="ListParagraph"/>
        <w:numPr>
          <w:ilvl w:val="0"/>
          <w:numId w:val="2"/>
        </w:numPr>
        <w:spacing w:after="80"/>
      </w:pPr>
      <w:r>
        <w:rPr>
          <w:rFonts w:ascii="Calibri" w:cs="Calibri" w:eastAsia="Calibri" w:hAnsi="Calibri"/>
          <w:color w:val="222222"/>
          <w:sz w:val="22"/>
          <w:szCs w:val="22"/>
        </w:rPr>
        <w:t xml:space="preserve">Features V1 through V28 are PCA-anonymized to protect real cardholder data; Time and Amount are the only interpretable columns.</w:t>
      </w:r>
    </w:p>
    <w:p>
      <w:pPr>
        <w:pStyle w:val="ListParagraph"/>
        <w:numPr>
          <w:ilvl w:val="0"/>
          <w:numId w:val="2"/>
        </w:numPr>
        <w:spacing w:after="80"/>
      </w:pPr>
      <w:r>
        <w:rPr>
          <w:rFonts w:ascii="Calibri" w:cs="Calibri" w:eastAsia="Calibri" w:hAnsi="Calibri"/>
          <w:color w:val="222222"/>
          <w:sz w:val="22"/>
          <w:szCs w:val="22"/>
        </w:rPr>
        <w:t xml:space="preserve">Target column Class: 0 = legitimate, 1 = fraud.</w:t>
      </w:r>
    </w:p>
    <w:p>
      <w:pPr>
        <w:pStyle w:val="ListParagraph"/>
        <w:numPr>
          <w:ilvl w:val="0"/>
          <w:numId w:val="2"/>
        </w:numPr>
        <w:spacing w:after="80"/>
      </w:pPr>
      <w:r>
        <w:rPr>
          <w:rFonts w:ascii="Calibri" w:cs="Calibri" w:eastAsia="Calibri" w:hAnsi="Calibri"/>
          <w:color w:val="222222"/>
          <w:sz w:val="22"/>
          <w:szCs w:val="22"/>
        </w:rPr>
        <w:t xml:space="preserve">Class distribution: 284,315 legitimate (99.83%) vs. 492 fraud (0.17%).</w:t>
      </w:r>
    </w:p>
    <w:p>
      <w:pPr>
        <w:pStyle w:val="ListParagraph"/>
        <w:numPr>
          <w:ilvl w:val="0"/>
          <w:numId w:val="2"/>
        </w:numPr>
        <w:spacing w:after="80"/>
      </w:pPr>
      <w:r>
        <w:rPr>
          <w:rFonts w:ascii="Calibri" w:cs="Calibri" w:eastAsia="Calibri" w:hAnsi="Calibri"/>
          <w:color w:val="222222"/>
          <w:sz w:val="22"/>
          <w:szCs w:val="22"/>
        </w:rPr>
        <w:t xml:space="preserve">No missing values present anywhere in the dataset.</w:t>
      </w:r>
    </w:p>
    <w:p>
      <w:pPr>
        <w:pStyle w:val="Heading1"/>
        <w:spacing w:after="140" w:before="320"/>
      </w:pPr>
      <w:r>
        <w:rPr>
          <w:rFonts w:ascii="Calibri" w:cs="Calibri" w:eastAsia="Calibri" w:hAnsi="Calibri"/>
          <w:b/>
          <w:bCs/>
          <w:color w:val="1F3864"/>
          <w:sz w:val="28"/>
          <w:szCs w:val="28"/>
        </w:rPr>
        <w:t xml:space="preserve">3. The Core Problem: Why Accuracy Fails Here</w:t>
      </w:r>
    </w:p>
    <w:p>
      <w:pPr>
        <w:spacing w:after="160"/>
      </w:pPr>
      <w:r>
        <w:rPr>
          <w:rFonts w:ascii="Calibri" w:cs="Calibri" w:eastAsia="Calibri" w:hAnsi="Calibri"/>
          <w:color w:val="222222"/>
          <w:sz w:val="22"/>
          <w:szCs w:val="22"/>
        </w:rPr>
        <w:t xml:space="preserve">A baseline test was run using a model that predicts “legitimate” for every transaction with zero actual logic.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3864" w:val="clear"/>
          </w:tcPr>
          <w:p>
            <w:r>
              <w:rPr>
                <w:rFonts w:ascii="Calibri" w:cs="Calibri" w:eastAsia="Calibri" w:hAnsi="Calibri"/>
                <w:b/>
                <w:bCs/>
                <w:color w:val="FFFFFF"/>
                <w:sz w:val="20"/>
                <w:szCs w:val="20"/>
              </w:rPr>
              <w:t xml:space="preserve">Metric</w:t>
            </w:r>
          </w:p>
        </w:tc>
        <w:tc>
          <w:tcPr>
            <w:tcW w:type="dxa" w:w="4500"/>
            <w:shd w:fill="1F3864" w:val="clear"/>
          </w:tcPr>
          <w:p>
            <w:r>
              <w:rPr>
                <w:rFonts w:ascii="Calibri" w:cs="Calibri" w:eastAsia="Calibri" w:hAnsi="Calibri"/>
                <w:b/>
                <w:bCs/>
                <w:color w:val="FFFFFF"/>
                <w:sz w:val="20"/>
                <w:szCs w:val="20"/>
              </w:rPr>
              <w:t xml:space="preserve">Result</w:t>
            </w:r>
          </w:p>
        </w:tc>
      </w:tr>
      <w:tr>
        <w:tc>
          <w:tcPr>
            <w:tcW w:type="dxa" w:w="4500"/>
            <w:shd w:fill="FFFFFF" w:val="clear"/>
          </w:tcPr>
          <w:p>
            <w:r>
              <w:rPr>
                <w:rFonts w:ascii="Calibri" w:cs="Calibri" w:eastAsia="Calibri" w:hAnsi="Calibri"/>
                <w:color w:val="222222"/>
                <w:sz w:val="20"/>
                <w:szCs w:val="20"/>
              </w:rPr>
              <w:t xml:space="preserve">Accuracy</w:t>
            </w:r>
          </w:p>
        </w:tc>
        <w:tc>
          <w:tcPr>
            <w:tcW w:type="dxa" w:w="4500"/>
            <w:shd w:fill="FFFFFF" w:val="clear"/>
          </w:tcPr>
          <w:p>
            <w:r>
              <w:rPr>
                <w:rFonts w:ascii="Calibri" w:cs="Calibri" w:eastAsia="Calibri" w:hAnsi="Calibri"/>
                <w:color w:val="222222"/>
                <w:sz w:val="20"/>
                <w:szCs w:val="20"/>
              </w:rPr>
              <w:t xml:space="preserve">99.83%</w:t>
            </w:r>
          </w:p>
        </w:tc>
      </w:tr>
      <w:tr>
        <w:tc>
          <w:tcPr>
            <w:tcW w:type="dxa" w:w="4500"/>
            <w:shd w:fill="F5F8FC" w:val="clear"/>
          </w:tcPr>
          <w:p>
            <w:r>
              <w:rPr>
                <w:rFonts w:ascii="Calibri" w:cs="Calibri" w:eastAsia="Calibri" w:hAnsi="Calibri"/>
                <w:color w:val="222222"/>
                <w:sz w:val="20"/>
                <w:szCs w:val="20"/>
              </w:rPr>
              <w:t xml:space="preserve">Fraud cases caught</w:t>
            </w:r>
          </w:p>
        </w:tc>
        <w:tc>
          <w:tcPr>
            <w:tcW w:type="dxa" w:w="4500"/>
            <w:shd w:fill="F5F8FC" w:val="clear"/>
          </w:tcPr>
          <w:p>
            <w:r>
              <w:rPr>
                <w:rFonts w:ascii="Calibri" w:cs="Calibri" w:eastAsia="Calibri" w:hAnsi="Calibri"/>
                <w:color w:val="222222"/>
                <w:sz w:val="20"/>
                <w:szCs w:val="20"/>
              </w:rPr>
              <w:t xml:space="preserve">0 out of 492</w:t>
            </w:r>
          </w:p>
        </w:tc>
      </w:tr>
    </w:tbl>
    <w:p>
      <w:pPr>
        <w:spacing w:after="160"/>
      </w:pPr>
      <w:r>
        <w:rPr>
          <w:rFonts w:ascii="Calibri" w:cs="Calibri" w:eastAsia="Calibri" w:hAnsi="Calibri"/>
          <w:color w:val="222222"/>
          <w:sz w:val="22"/>
          <w:szCs w:val="22"/>
        </w:rPr>
        <w:t xml:space="preserve">This confirms that accuracy is not a valid success metric on this dataset. A model can appear near-perfect while providing zero real fraud protection. All subsequent evaluation in this project relies on Precision, Recall, and ROC-AUC instead.</w:t>
      </w:r>
    </w:p>
    <w:p>
      <w:pPr>
        <w:pStyle w:val="Heading1"/>
        <w:spacing w:after="140" w:before="320"/>
      </w:pPr>
      <w:r>
        <w:rPr>
          <w:rFonts w:ascii="Calibri" w:cs="Calibri" w:eastAsia="Calibri" w:hAnsi="Calibri"/>
          <w:b/>
          <w:bCs/>
          <w:color w:val="1F3864"/>
          <w:sz w:val="28"/>
          <w:szCs w:val="28"/>
        </w:rPr>
        <w:t xml:space="preserve">4. Methodology</w:t>
      </w:r>
    </w:p>
    <w:p>
      <w:pPr>
        <w:pStyle w:val="Heading2"/>
        <w:spacing w:after="100" w:before="220"/>
      </w:pPr>
      <w:r>
        <w:rPr>
          <w:rFonts w:ascii="Calibri" w:cs="Calibri" w:eastAsia="Calibri" w:hAnsi="Calibri"/>
          <w:b/>
          <w:bCs/>
          <w:color w:val="1F3864"/>
          <w:sz w:val="24"/>
          <w:szCs w:val="24"/>
        </w:rPr>
        <w:t xml:space="preserve">4.1 Train/Test Split</w:t>
      </w:r>
    </w:p>
    <w:p>
      <w:pPr>
        <w:spacing w:after="160"/>
      </w:pPr>
      <w:r>
        <w:rPr>
          <w:rFonts w:ascii="Calibri" w:cs="Calibri" w:eastAsia="Calibri" w:hAnsi="Calibri"/>
          <w:color w:val="222222"/>
          <w:sz w:val="22"/>
          <w:szCs w:val="22"/>
        </w:rPr>
        <w:t xml:space="preserve">Data was split 80/20 using stratified sampling (stratify=y), preserving the 0.17% fraud ratio identically across both sets (0.1729% train, 0.1720% test). This prevents an uneven, random split from concentrating the already-rare fraud cases disproportionately into one side.</w:t>
      </w:r>
    </w:p>
    <w:p>
      <w:pPr>
        <w:pStyle w:val="Heading2"/>
        <w:spacing w:after="100" w:before="220"/>
      </w:pPr>
      <w:r>
        <w:rPr>
          <w:rFonts w:ascii="Calibri" w:cs="Calibri" w:eastAsia="Calibri" w:hAnsi="Calibri"/>
          <w:b/>
          <w:bCs/>
          <w:color w:val="1F3864"/>
          <w:sz w:val="24"/>
          <w:szCs w:val="24"/>
        </w:rPr>
        <w:t xml:space="preserve">4.2 Handling Class Imbalance (SMOTE)</w:t>
      </w:r>
    </w:p>
    <w:p>
      <w:pPr>
        <w:spacing w:after="160"/>
      </w:pPr>
      <w:r>
        <w:rPr>
          <w:rFonts w:ascii="Calibri" w:cs="Calibri" w:eastAsia="Calibri" w:hAnsi="Calibri"/>
          <w:color w:val="222222"/>
          <w:sz w:val="22"/>
          <w:szCs w:val="22"/>
        </w:rPr>
        <w:t xml:space="preserve">SMOTE (Synthetic Minority Over-sampling Technique) was used to generate synthetic fraud examples by interpolating between real fraud cases, rather than duplicating them outright. Applied strictly to the training set, after the split, to prevent data leakage: applying SMOTE before splitting would let synthetic copies of test-set fraud contaminate training, producing misleadingly strong test results.</w:t>
      </w:r>
    </w:p>
    <w:p>
      <w:pPr>
        <w:spacing w:after="160"/>
      </w:pPr>
      <w:r>
        <w:rPr>
          <w:rFonts w:ascii="Calibri" w:cs="Calibri" w:eastAsia="Calibri" w:hAnsi="Calibri"/>
          <w:color w:val="222222"/>
          <w:sz w:val="22"/>
          <w:szCs w:val="22"/>
        </w:rPr>
        <w:t xml:space="preserve">A second leakage risk was identified and corrected: SMOTE's neighbor calculation is distance-based, and the Amount column (ranging up to 25,691) would dominate that calculation over the anonymized V1–V28 features (ranging roughly -60 to 10) if left unscaled. Feature scaling was therefore applied before SMOTE for the Logistic Regression pipeline, ensuring all features contributed fairly to the synthetic sample generation.</w:t>
      </w:r>
    </w:p>
    <w:p>
      <w:pPr>
        <w:pStyle w:val="Heading2"/>
        <w:spacing w:after="100" w:before="220"/>
      </w:pPr>
      <w:r>
        <w:rPr>
          <w:rFonts w:ascii="Calibri" w:cs="Calibri" w:eastAsia="Calibri" w:hAnsi="Calibri"/>
          <w:b/>
          <w:bCs/>
          <w:color w:val="1F3864"/>
          <w:sz w:val="24"/>
          <w:szCs w:val="24"/>
        </w:rPr>
        <w:t xml:space="preserve">4.3 Model-Specific Preprocessing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3864" w:val="clear"/>
          </w:tcPr>
          <w:p>
            <w:r>
              <w:rPr>
                <w:rFonts w:ascii="Calibri" w:cs="Calibri" w:eastAsia="Calibri" w:hAnsi="Calibri"/>
                <w:b/>
                <w:bCs/>
                <w:color w:val="FFFFFF"/>
                <w:sz w:val="20"/>
                <w:szCs w:val="20"/>
              </w:rPr>
              <w:t xml:space="preserve">Model</w:t>
            </w:r>
          </w:p>
        </w:tc>
        <w:tc>
          <w:tcPr>
            <w:tcW w:type="dxa" w:w="3000"/>
            <w:shd w:fill="1F3864" w:val="clear"/>
          </w:tcPr>
          <w:p>
            <w:r>
              <w:rPr>
                <w:rFonts w:ascii="Calibri" w:cs="Calibri" w:eastAsia="Calibri" w:hAnsi="Calibri"/>
                <w:b/>
                <w:bCs/>
                <w:color w:val="FFFFFF"/>
                <w:sz w:val="20"/>
                <w:szCs w:val="20"/>
              </w:rPr>
              <w:t xml:space="preserve">Scaling Required</w:t>
            </w:r>
          </w:p>
        </w:tc>
        <w:tc>
          <w:tcPr>
            <w:tcW w:type="dxa" w:w="3000"/>
            <w:shd w:fill="1F3864" w:val="clear"/>
          </w:tcPr>
          <w:p>
            <w:r>
              <w:rPr>
                <w:rFonts w:ascii="Calibri" w:cs="Calibri" w:eastAsia="Calibri" w:hAnsi="Calibri"/>
                <w:b/>
                <w:bCs/>
                <w:color w:val="FFFFFF"/>
                <w:sz w:val="20"/>
                <w:szCs w:val="20"/>
              </w:rPr>
              <w:t xml:space="preserve">Reasoning</w:t>
            </w:r>
          </w:p>
        </w:tc>
      </w:tr>
      <w:tr>
        <w:tc>
          <w:tcPr>
            <w:tcW w:type="dxa" w:w="3000"/>
            <w:shd w:fill="FFFFFF" w:val="clear"/>
          </w:tcPr>
          <w:p>
            <w:r>
              <w:rPr>
                <w:rFonts w:ascii="Calibri" w:cs="Calibri" w:eastAsia="Calibri" w:hAnsi="Calibri"/>
                <w:color w:val="222222"/>
                <w:sz w:val="20"/>
                <w:szCs w:val="20"/>
              </w:rPr>
              <w:t xml:space="preserve">Logistic Regression</w:t>
            </w:r>
          </w:p>
        </w:tc>
        <w:tc>
          <w:tcPr>
            <w:tcW w:type="dxa" w:w="3000"/>
            <w:shd w:fill="FFFFFF" w:val="clear"/>
          </w:tcPr>
          <w:p>
            <w:r>
              <w:rPr>
                <w:rFonts w:ascii="Calibri" w:cs="Calibri" w:eastAsia="Calibri" w:hAnsi="Calibri"/>
                <w:color w:val="222222"/>
                <w:sz w:val="20"/>
                <w:szCs w:val="20"/>
              </w:rPr>
              <w:t xml:space="preserve">Yes</w:t>
            </w:r>
          </w:p>
        </w:tc>
        <w:tc>
          <w:tcPr>
            <w:tcW w:type="dxa" w:w="3000"/>
            <w:shd w:fill="FFFFFF" w:val="clear"/>
          </w:tcPr>
          <w:p>
            <w:r>
              <w:rPr>
                <w:rFonts w:ascii="Calibri" w:cs="Calibri" w:eastAsia="Calibri" w:hAnsi="Calibri"/>
                <w:color w:val="222222"/>
                <w:sz w:val="20"/>
                <w:szCs w:val="20"/>
              </w:rPr>
              <w:t xml:space="preserve">Coefficient-based; sensitive to feature scale</w:t>
            </w:r>
          </w:p>
        </w:tc>
      </w:tr>
      <w:tr>
        <w:tc>
          <w:tcPr>
            <w:tcW w:type="dxa" w:w="3000"/>
            <w:shd w:fill="F5F8FC" w:val="clear"/>
          </w:tcPr>
          <w:p>
            <w:r>
              <w:rPr>
                <w:rFonts w:ascii="Calibri" w:cs="Calibri" w:eastAsia="Calibri" w:hAnsi="Calibri"/>
                <w:color w:val="222222"/>
                <w:sz w:val="20"/>
                <w:szCs w:val="20"/>
              </w:rPr>
              <w:t xml:space="preserve">Random Forest</w:t>
            </w:r>
          </w:p>
        </w:tc>
        <w:tc>
          <w:tcPr>
            <w:tcW w:type="dxa" w:w="3000"/>
            <w:shd w:fill="F5F8FC" w:val="clear"/>
          </w:tcPr>
          <w:p>
            <w:r>
              <w:rPr>
                <w:rFonts w:ascii="Calibri" w:cs="Calibri" w:eastAsia="Calibri" w:hAnsi="Calibri"/>
                <w:color w:val="222222"/>
                <w:sz w:val="20"/>
                <w:szCs w:val="20"/>
              </w:rPr>
              <w:t xml:space="preserve">No</w:t>
            </w:r>
          </w:p>
        </w:tc>
        <w:tc>
          <w:tcPr>
            <w:tcW w:type="dxa" w:w="3000"/>
            <w:shd w:fill="F5F8FC" w:val="clear"/>
          </w:tcPr>
          <w:p>
            <w:r>
              <w:rPr>
                <w:rFonts w:ascii="Calibri" w:cs="Calibri" w:eastAsia="Calibri" w:hAnsi="Calibri"/>
                <w:color w:val="222222"/>
                <w:sz w:val="20"/>
                <w:szCs w:val="20"/>
              </w:rPr>
              <w:t xml:space="preserve">Splits features ordinally; invariant to scale</w:t>
            </w:r>
          </w:p>
        </w:tc>
      </w:tr>
    </w:tbl>
    <w:p>
      <w:pPr>
        <w:pStyle w:val="Heading1"/>
        <w:spacing w:after="140" w:before="320"/>
      </w:pPr>
      <w:r>
        <w:rPr>
          <w:rFonts w:ascii="Calibri" w:cs="Calibri" w:eastAsia="Calibri" w:hAnsi="Calibri"/>
          <w:b/>
          <w:bCs/>
          <w:color w:val="1F3864"/>
          <w:sz w:val="28"/>
          <w:szCs w:val="28"/>
        </w:rPr>
        <w:t xml:space="preserve">5.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3864" w:val="clear"/>
          </w:tcPr>
          <w:p>
            <w:r>
              <w:rPr>
                <w:rFonts w:ascii="Calibri" w:cs="Calibri" w:eastAsia="Calibri" w:hAnsi="Calibri"/>
                <w:b/>
                <w:bCs/>
                <w:color w:val="FFFFFF"/>
                <w:sz w:val="20"/>
                <w:szCs w:val="20"/>
              </w:rPr>
              <w:t xml:space="preserve">Metric</w:t>
            </w:r>
          </w:p>
        </w:tc>
        <w:tc>
          <w:tcPr>
            <w:tcW w:type="dxa" w:w="3000"/>
            <w:shd w:fill="1F3864" w:val="clear"/>
          </w:tcPr>
          <w:p>
            <w:r>
              <w:rPr>
                <w:rFonts w:ascii="Calibri" w:cs="Calibri" w:eastAsia="Calibri" w:hAnsi="Calibri"/>
                <w:b/>
                <w:bCs/>
                <w:color w:val="FFFFFF"/>
                <w:sz w:val="20"/>
                <w:szCs w:val="20"/>
              </w:rPr>
              <w:t xml:space="preserve">Logistic Regression</w:t>
            </w:r>
          </w:p>
        </w:tc>
        <w:tc>
          <w:tcPr>
            <w:tcW w:type="dxa" w:w="3000"/>
            <w:shd w:fill="1F3864" w:val="clear"/>
          </w:tcPr>
          <w:p>
            <w:r>
              <w:rPr>
                <w:rFonts w:ascii="Calibri" w:cs="Calibri" w:eastAsia="Calibri" w:hAnsi="Calibri"/>
                <w:b/>
                <w:bCs/>
                <w:color w:val="FFFFFF"/>
                <w:sz w:val="20"/>
                <w:szCs w:val="20"/>
              </w:rPr>
              <w:t xml:space="preserve">Random Forest</w:t>
            </w:r>
          </w:p>
        </w:tc>
      </w:tr>
      <w:tr>
        <w:tc>
          <w:tcPr>
            <w:tcW w:type="dxa" w:w="3000"/>
            <w:shd w:fill="FFFFFF" w:val="clear"/>
          </w:tcPr>
          <w:p>
            <w:r>
              <w:rPr>
                <w:rFonts w:ascii="Calibri" w:cs="Calibri" w:eastAsia="Calibri" w:hAnsi="Calibri"/>
                <w:color w:val="222222"/>
                <w:sz w:val="20"/>
                <w:szCs w:val="20"/>
              </w:rPr>
              <w:t xml:space="preserve">Recall (fraud)</w:t>
            </w:r>
          </w:p>
        </w:tc>
        <w:tc>
          <w:tcPr>
            <w:tcW w:type="dxa" w:w="3000"/>
            <w:shd w:fill="FFFFFF" w:val="clear"/>
          </w:tcPr>
          <w:p>
            <w:r>
              <w:rPr>
                <w:rFonts w:ascii="Calibri" w:cs="Calibri" w:eastAsia="Calibri" w:hAnsi="Calibri"/>
                <w:color w:val="222222"/>
                <w:sz w:val="20"/>
                <w:szCs w:val="20"/>
              </w:rPr>
              <w:t xml:space="preserve">91.84%</w:t>
            </w:r>
          </w:p>
        </w:tc>
        <w:tc>
          <w:tcPr>
            <w:tcW w:type="dxa" w:w="3000"/>
            <w:shd w:fill="FFFFFF" w:val="clear"/>
          </w:tcPr>
          <w:p>
            <w:r>
              <w:rPr>
                <w:rFonts w:ascii="Calibri" w:cs="Calibri" w:eastAsia="Calibri" w:hAnsi="Calibri"/>
                <w:color w:val="222222"/>
                <w:sz w:val="20"/>
                <w:szCs w:val="20"/>
              </w:rPr>
              <w:t xml:space="preserve">85.71%</w:t>
            </w:r>
          </w:p>
        </w:tc>
      </w:tr>
      <w:tr>
        <w:tc>
          <w:tcPr>
            <w:tcW w:type="dxa" w:w="3000"/>
            <w:shd w:fill="F5F8FC" w:val="clear"/>
          </w:tcPr>
          <w:p>
            <w:r>
              <w:rPr>
                <w:rFonts w:ascii="Calibri" w:cs="Calibri" w:eastAsia="Calibri" w:hAnsi="Calibri"/>
                <w:color w:val="222222"/>
                <w:sz w:val="20"/>
                <w:szCs w:val="20"/>
              </w:rPr>
              <w:t xml:space="preserve">Precision (fraud)</w:t>
            </w:r>
          </w:p>
        </w:tc>
        <w:tc>
          <w:tcPr>
            <w:tcW w:type="dxa" w:w="3000"/>
            <w:shd w:fill="F5F8FC" w:val="clear"/>
          </w:tcPr>
          <w:p>
            <w:r>
              <w:rPr>
                <w:rFonts w:ascii="Calibri" w:cs="Calibri" w:eastAsia="Calibri" w:hAnsi="Calibri"/>
                <w:color w:val="222222"/>
                <w:sz w:val="20"/>
                <w:szCs w:val="20"/>
              </w:rPr>
              <w:t xml:space="preserve">5.78%</w:t>
            </w:r>
          </w:p>
        </w:tc>
        <w:tc>
          <w:tcPr>
            <w:tcW w:type="dxa" w:w="3000"/>
            <w:shd w:fill="F5F8FC" w:val="clear"/>
          </w:tcPr>
          <w:p>
            <w:r>
              <w:rPr>
                <w:rFonts w:ascii="Calibri" w:cs="Calibri" w:eastAsia="Calibri" w:hAnsi="Calibri"/>
                <w:color w:val="222222"/>
                <w:sz w:val="20"/>
                <w:szCs w:val="20"/>
              </w:rPr>
              <w:t xml:space="preserve">62.69%</w:t>
            </w:r>
          </w:p>
        </w:tc>
      </w:tr>
      <w:tr>
        <w:tc>
          <w:tcPr>
            <w:tcW w:type="dxa" w:w="3000"/>
            <w:shd w:fill="FFFFFF" w:val="clear"/>
          </w:tcPr>
          <w:p>
            <w:r>
              <w:rPr>
                <w:rFonts w:ascii="Calibri" w:cs="Calibri" w:eastAsia="Calibri" w:hAnsi="Calibri"/>
                <w:color w:val="222222"/>
                <w:sz w:val="20"/>
                <w:szCs w:val="20"/>
              </w:rPr>
              <w:t xml:space="preserve">False alarms</w:t>
            </w:r>
          </w:p>
        </w:tc>
        <w:tc>
          <w:tcPr>
            <w:tcW w:type="dxa" w:w="3000"/>
            <w:shd w:fill="FFFFFF" w:val="clear"/>
          </w:tcPr>
          <w:p>
            <w:r>
              <w:rPr>
                <w:rFonts w:ascii="Calibri" w:cs="Calibri" w:eastAsia="Calibri" w:hAnsi="Calibri"/>
                <w:color w:val="222222"/>
                <w:sz w:val="20"/>
                <w:szCs w:val="20"/>
              </w:rPr>
              <w:t xml:space="preserve">1,467</w:t>
            </w:r>
          </w:p>
        </w:tc>
        <w:tc>
          <w:tcPr>
            <w:tcW w:type="dxa" w:w="3000"/>
            <w:shd w:fill="FFFFFF" w:val="clear"/>
          </w:tcPr>
          <w:p>
            <w:r>
              <w:rPr>
                <w:rFonts w:ascii="Calibri" w:cs="Calibri" w:eastAsia="Calibri" w:hAnsi="Calibri"/>
                <w:color w:val="222222"/>
                <w:sz w:val="20"/>
                <w:szCs w:val="20"/>
              </w:rPr>
              <w:t xml:space="preserve">50</w:t>
            </w:r>
          </w:p>
        </w:tc>
      </w:tr>
      <w:tr>
        <w:tc>
          <w:tcPr>
            <w:tcW w:type="dxa" w:w="3000"/>
            <w:shd w:fill="F5F8FC" w:val="clear"/>
          </w:tcPr>
          <w:p>
            <w:r>
              <w:rPr>
                <w:rFonts w:ascii="Calibri" w:cs="Calibri" w:eastAsia="Calibri" w:hAnsi="Calibri"/>
                <w:color w:val="222222"/>
                <w:sz w:val="20"/>
                <w:szCs w:val="20"/>
              </w:rPr>
              <w:t xml:space="preserve">Fraud missed</w:t>
            </w:r>
          </w:p>
        </w:tc>
        <w:tc>
          <w:tcPr>
            <w:tcW w:type="dxa" w:w="3000"/>
            <w:shd w:fill="F5F8FC" w:val="clear"/>
          </w:tcPr>
          <w:p>
            <w:r>
              <w:rPr>
                <w:rFonts w:ascii="Calibri" w:cs="Calibri" w:eastAsia="Calibri" w:hAnsi="Calibri"/>
                <w:color w:val="222222"/>
                <w:sz w:val="20"/>
                <w:szCs w:val="20"/>
              </w:rPr>
              <w:t xml:space="preserve">8 of 98</w:t>
            </w:r>
          </w:p>
        </w:tc>
        <w:tc>
          <w:tcPr>
            <w:tcW w:type="dxa" w:w="3000"/>
            <w:shd w:fill="F5F8FC" w:val="clear"/>
          </w:tcPr>
          <w:p>
            <w:r>
              <w:rPr>
                <w:rFonts w:ascii="Calibri" w:cs="Calibri" w:eastAsia="Calibri" w:hAnsi="Calibri"/>
                <w:color w:val="222222"/>
                <w:sz w:val="20"/>
                <w:szCs w:val="20"/>
              </w:rPr>
              <w:t xml:space="preserve">14 of 98</w:t>
            </w:r>
          </w:p>
        </w:tc>
      </w:tr>
      <w:tr>
        <w:tc>
          <w:tcPr>
            <w:tcW w:type="dxa" w:w="3000"/>
            <w:shd w:fill="FFFFFF" w:val="clear"/>
          </w:tcPr>
          <w:p>
            <w:r>
              <w:rPr>
                <w:rFonts w:ascii="Calibri" w:cs="Calibri" w:eastAsia="Calibri" w:hAnsi="Calibri"/>
                <w:color w:val="222222"/>
                <w:sz w:val="20"/>
                <w:szCs w:val="20"/>
              </w:rPr>
              <w:t xml:space="preserve">ROC-AUC</w:t>
            </w:r>
          </w:p>
        </w:tc>
        <w:tc>
          <w:tcPr>
            <w:tcW w:type="dxa" w:w="3000"/>
            <w:shd w:fill="FFFFFF" w:val="clear"/>
          </w:tcPr>
          <w:p>
            <w:r>
              <w:rPr>
                <w:rFonts w:ascii="Calibri" w:cs="Calibri" w:eastAsia="Calibri" w:hAnsi="Calibri"/>
                <w:color w:val="222222"/>
                <w:sz w:val="20"/>
                <w:szCs w:val="20"/>
              </w:rPr>
              <w:t xml:space="preserve">0.9708</w:t>
            </w:r>
          </w:p>
        </w:tc>
        <w:tc>
          <w:tcPr>
            <w:tcW w:type="dxa" w:w="3000"/>
            <w:shd w:fill="FFFFFF" w:val="clear"/>
          </w:tcPr>
          <w:p>
            <w:r>
              <w:rPr>
                <w:rFonts w:ascii="Calibri" w:cs="Calibri" w:eastAsia="Calibri" w:hAnsi="Calibri"/>
                <w:color w:val="222222"/>
                <w:sz w:val="20"/>
                <w:szCs w:val="20"/>
              </w:rPr>
              <w:t xml:space="preserve">0.9745</w:t>
            </w:r>
          </w:p>
        </w:tc>
      </w:tr>
    </w:tbl>
    <w:p>
      <w:pPr>
        <w:pStyle w:val="Heading2"/>
        <w:spacing w:after="100" w:before="220"/>
      </w:pPr>
      <w:r>
        <w:rPr>
          <w:rFonts w:ascii="Calibri" w:cs="Calibri" w:eastAsia="Calibri" w:hAnsi="Calibri"/>
          <w:b/>
          <w:bCs/>
          <w:color w:val="1F3864"/>
          <w:sz w:val="24"/>
          <w:szCs w:val="24"/>
        </w:rPr>
        <w:t xml:space="preserve">Confusion Matrix — Logistic Regression</w:t>
      </w:r>
    </w:p>
    <w:p>
      <w:pPr>
        <w:pBdr>
          <w:top w:val="single" w:color="CCCCCC" w:sz="2"/>
          <w:bottom w:val="single" w:color="CCCCCC" w:sz="2"/>
          <w:left w:val="single" w:color="CCCCCC" w:sz="2"/>
          <w:right w:val="single" w:color="CCCCCC" w:sz="2"/>
        </w:pBdr>
        <w:shd w:fill="F2F2F2" w:val="clear"/>
        <w:spacing w:after="160" w:before="80"/>
      </w:pPr>
      <w:r>
        <w:rPr>
          <w:rFonts w:ascii="Consolas" w:cs="Consolas" w:eastAsia="Consolas" w:hAnsi="Consolas"/>
          <w:color w:val="333333"/>
          <w:sz w:val="18"/>
          <w:szCs w:val="18"/>
        </w:rPr>
        <w:t xml:space="preserve">[[55397  1467]</w:t>
      </w:r>
      <w:r>
        <w:rPr>
          <w:rFonts w:ascii="Consolas" w:cs="Consolas" w:eastAsia="Consolas" w:hAnsi="Consolas"/>
          <w:color w:val="333333"/>
          <w:sz w:val="18"/>
          <w:szCs w:val="18"/>
        </w:rPr>
        <w:br/>
        <w:t xml:space="preserve"> [    8    90]]</w:t>
      </w:r>
    </w:p>
    <w:p>
      <w:pPr>
        <w:pStyle w:val="Heading2"/>
        <w:spacing w:after="100" w:before="220"/>
      </w:pPr>
      <w:r>
        <w:rPr>
          <w:rFonts w:ascii="Calibri" w:cs="Calibri" w:eastAsia="Calibri" w:hAnsi="Calibri"/>
          <w:b/>
          <w:bCs/>
          <w:color w:val="1F3864"/>
          <w:sz w:val="24"/>
          <w:szCs w:val="24"/>
        </w:rPr>
        <w:t xml:space="preserve">Confusion Matrix — Random Forest</w:t>
      </w:r>
    </w:p>
    <w:p>
      <w:pPr>
        <w:pBdr>
          <w:top w:val="single" w:color="CCCCCC" w:sz="2"/>
          <w:bottom w:val="single" w:color="CCCCCC" w:sz="2"/>
          <w:left w:val="single" w:color="CCCCCC" w:sz="2"/>
          <w:right w:val="single" w:color="CCCCCC" w:sz="2"/>
        </w:pBdr>
        <w:shd w:fill="F2F2F2" w:val="clear"/>
        <w:spacing w:after="160" w:before="80"/>
      </w:pPr>
      <w:r>
        <w:rPr>
          <w:rFonts w:ascii="Consolas" w:cs="Consolas" w:eastAsia="Consolas" w:hAnsi="Consolas"/>
          <w:color w:val="333333"/>
          <w:sz w:val="18"/>
          <w:szCs w:val="18"/>
        </w:rPr>
        <w:t xml:space="preserve">[[56814    50]</w:t>
      </w:r>
      <w:r>
        <w:rPr>
          <w:rFonts w:ascii="Consolas" w:cs="Consolas" w:eastAsia="Consolas" w:hAnsi="Consolas"/>
          <w:color w:val="333333"/>
          <w:sz w:val="18"/>
          <w:szCs w:val="18"/>
        </w:rPr>
        <w:br/>
        <w:t xml:space="preserve"> [   14    84]]</w:t>
      </w:r>
    </w:p>
    <w:p>
      <w:pPr>
        <w:pStyle w:val="Heading1"/>
        <w:spacing w:after="140" w:before="320"/>
      </w:pPr>
      <w:r>
        <w:rPr>
          <w:rFonts w:ascii="Calibri" w:cs="Calibri" w:eastAsia="Calibri" w:hAnsi="Calibri"/>
          <w:b/>
          <w:bCs/>
          <w:color w:val="1F3864"/>
          <w:sz w:val="28"/>
          <w:szCs w:val="28"/>
        </w:rPr>
        <w:t xml:space="preserve">6. Discussion</w:t>
      </w:r>
    </w:p>
    <w:p>
      <w:pPr>
        <w:spacing w:after="160"/>
      </w:pPr>
      <w:r>
        <w:rPr>
          <w:rFonts w:ascii="Calibri" w:cs="Calibri" w:eastAsia="Calibri" w:hAnsi="Calibri"/>
          <w:color w:val="222222"/>
          <w:sz w:val="22"/>
          <w:szCs w:val="22"/>
        </w:rPr>
        <w:t xml:space="preserve">Both models achieved near-identical ROC-AUC scores (~0.97), indicating both are genuinely capable of separating fraud from legitimate transactions across all thresholds. The meaningful difference lies in the precision/recall trade-off at the classification threshold each model settled on.</w:t>
      </w:r>
    </w:p>
    <w:p>
      <w:pPr>
        <w:spacing w:after="160"/>
      </w:pPr>
      <w:r>
        <w:rPr>
          <w:rFonts w:ascii="Calibri" w:cs="Calibri" w:eastAsia="Calibri" w:hAnsi="Calibri"/>
          <w:color w:val="222222"/>
          <w:sz w:val="22"/>
          <w:szCs w:val="22"/>
        </w:rPr>
        <w:t xml:space="preserve">Logistic Regression caught more fraud in absolute terms (92% recall) but at a steep cost: 94% of its fraud alerts were false positives, 1,467 legitimate transactions incorrectly flagged. Random Forest traded 6 percentage points of recall for a jump to 63% precision, a nearly 97% reduction in false alarms (1,467 down to 50).</w:t>
      </w:r>
    </w:p>
    <w:p>
      <w:pPr>
        <w:spacing w:after="160"/>
      </w:pPr>
      <w:r>
        <w:rPr>
          <w:rFonts w:ascii="Calibri" w:cs="Calibri" w:eastAsia="Calibri" w:hAnsi="Calibri"/>
          <w:color w:val="222222"/>
          <w:sz w:val="22"/>
          <w:szCs w:val="22"/>
        </w:rPr>
        <w:t xml:space="preserve">This trade-off has direct operational consequences. A fraud detection system that is wrong 94% of the time it raises an alert will, in practice, train human investigators to distrust and eventually disregard its output, regardless of how many true positives it technically identifies. A lower false-alarm rate that still catches the large majority of fraud is generally more valuable in production than marginally higher recall paired with alert fatigue.</w:t>
      </w:r>
    </w:p>
    <w:p>
      <w:pPr>
        <w:pStyle w:val="Heading1"/>
        <w:spacing w:after="140" w:before="320"/>
      </w:pPr>
      <w:r>
        <w:rPr>
          <w:rFonts w:ascii="Calibri" w:cs="Calibri" w:eastAsia="Calibri" w:hAnsi="Calibri"/>
          <w:b/>
          <w:bCs/>
          <w:color w:val="1F3864"/>
          <w:sz w:val="28"/>
          <w:szCs w:val="28"/>
        </w:rPr>
        <w:t xml:space="preserve">7. Conclusion</w:t>
      </w:r>
    </w:p>
    <w:p>
      <w:pPr>
        <w:spacing w:after="160"/>
      </w:pPr>
      <w:r>
        <w:rPr>
          <w:rFonts w:ascii="Calibri" w:cs="Calibri" w:eastAsia="Calibri" w:hAnsi="Calibri"/>
          <w:color w:val="222222"/>
          <w:sz w:val="22"/>
          <w:szCs w:val="22"/>
        </w:rPr>
        <w:t xml:space="preserve">Random Forest is recommended as the preferred model for this fraud detection use case. While Logistic Regression offers marginally higher recall, Random Forest's substantially higher precision makes its alerts far more actionable and trustworthy in a real operational setting, without materially sacrificing overall discriminative power (ROC-AUC).</w:t>
      </w:r>
    </w:p>
    <w:p>
      <w:pPr>
        <w:spacing w:after="160"/>
      </w:pPr>
      <w:r>
        <w:rPr>
          <w:rFonts w:ascii="Calibri" w:cs="Calibri" w:eastAsia="Calibri" w:hAnsi="Calibri"/>
          <w:color w:val="222222"/>
          <w:sz w:val="22"/>
          <w:szCs w:val="22"/>
        </w:rPr>
        <w:t xml:space="preserve">Beyond model selection, this project's central lesson was procedural: correct handling of class imbalance and leakage prevention, splitting before resampling, and scaling before distance-based resampling, mattered as much to the final result as the choice of algorithm itself.</w:t>
      </w:r>
    </w:p>
    <w:p>
      <w:pPr>
        <w:pStyle w:val="Heading1"/>
        <w:spacing w:after="140" w:before="320"/>
      </w:pPr>
      <w:r>
        <w:rPr>
          <w:rFonts w:ascii="Calibri" w:cs="Calibri" w:eastAsia="Calibri" w:hAnsi="Calibri"/>
          <w:b/>
          <w:bCs/>
          <w:color w:val="1F3864"/>
          <w:sz w:val="28"/>
          <w:szCs w:val="28"/>
        </w:rPr>
        <w:t xml:space="preserve">8. Tech Stack</w:t>
      </w:r>
    </w:p>
    <w:p>
      <w:pPr>
        <w:spacing w:after="160"/>
      </w:pPr>
      <w:r>
        <w:rPr>
          <w:rFonts w:ascii="Calibri" w:cs="Calibri" w:eastAsia="Calibri" w:hAnsi="Calibri"/>
          <w:color w:val="222222"/>
          <w:sz w:val="22"/>
          <w:szCs w:val="22"/>
        </w:rPr>
        <w:t xml:space="preserve">Python, Pandas, Scikit-learn, imbalanced-learn (SMOTE)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2026-09-07T16:41:44.968Z</dcterms:created>
  <dcterms:modified xsi:type="dcterms:W3CDTF">2026-09-07T16:41:44.977Z</dcterms:modified>
</cp:coreProperties>
</file>

<file path=docProps/custom.xml><?xml version="1.0" encoding="utf-8"?>
<Properties xmlns="http://schemas.openxmlformats.org/officeDocument/2006/custom-properties" xmlns:vt="http://schemas.openxmlformats.org/officeDocument/2006/docPropsVTypes"/>
</file>