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2F5496"/>
          <w:sz w:val="56"/>
          <w:szCs w:val="56"/>
        </w:rPr>
        <w:t xml:space="preserve">LEXIN</w:t>
      </w:r>
    </w:p>
    <w:p>
      <w:pPr>
        <w:spacing w:after="40"/>
        <w:jc w:val="center"/>
      </w:pPr>
      <w:r>
        <w:rPr>
          <w:rFonts w:ascii="Calibri" w:cs="Calibri" w:eastAsia="Calibri" w:hAnsi="Calibri"/>
          <w:sz w:val="30"/>
          <w:szCs w:val="30"/>
        </w:rPr>
        <w:t xml:space="preserve">From Breadboard to PCB: A Design Evolution Report</w:t>
      </w:r>
    </w:p>
    <w:p>
      <w:pPr>
        <w:spacing w:after="360"/>
        <w:jc w:val="center"/>
      </w:pPr>
      <w:r>
        <w:rPr>
          <w:rFonts w:ascii="Calibri" w:cs="Calibri" w:eastAsia="Calibri" w:hAnsi="Calibri"/>
          <w:i/>
          <w:iCs/>
          <w:color w:val="595959"/>
          <w:sz w:val="22"/>
          <w:szCs w:val="22"/>
        </w:rPr>
        <w:t xml:space="preserve">Addendum to the LEXIN Project Report — Engineering Change Summary</w:t>
      </w:r>
    </w:p>
    <w:p>
      <w:pPr>
        <w:pBdr>
          <w:bottom w:val="single" w:color="AAAAAA" w:sz="6" w:space="1"/>
        </w:pBdr>
        <w:spacing w:after="200" w:before="100"/>
      </w:pPr>
    </w:p>
    <w:p>
      <w:pPr>
        <w:pStyle w:val="Heading1"/>
        <w:spacing w:after="160" w:before="320"/>
      </w:pPr>
      <w:r>
        <w:rPr>
          <w:b/>
          <w:bCs/>
        </w:rPr>
        <w:t xml:space="preserve">Purpose</w:t>
      </w:r>
    </w:p>
    <w:p>
      <w:pPr>
        <w:spacing w:after="160" w:line="276"/>
      </w:pPr>
      <w:r>
        <w:rPr>
          <w:rFonts w:ascii="Calibri" w:cs="Calibri" w:eastAsia="Calibri" w:hAnsi="Calibri"/>
        </w:rPr>
        <w:t xml:space="preserve">The original LEXIN Project Report documents the system as it existed on the breadboard: a working proof of concept validating the wake-word/cloud-NLP command flow and the three output subsystems. Since that report was written, the design has been formalized into a complete KiCad schematic and a fabrication-ready PCB, and that process surfaced a number of engineering decisions that materially changed the circuit from the breadboard version. This addendum exists to document those changes explicitly, so the project record reflects the design that was actually built rather than only the design that was first prototyped.</w:t>
      </w:r>
    </w:p>
    <w:p>
      <w:pPr>
        <w:spacing w:after="160" w:line="276"/>
      </w:pPr>
      <w:r>
        <w:rPr>
          <w:rFonts w:ascii="Calibri" w:cs="Calibri" w:eastAsia="Calibri" w:hAnsi="Calibri"/>
        </w:rPr>
        <w:t xml:space="preserve">Each change below was driven by a concrete constraint encountered while formalizing the circuit — component availability, power budget, protocol reliability, or manufacturability — rather than being a stylistic revision. Where relevant, the original breadboard approach is compared directly against the final PCB implementation.</w:t>
      </w:r>
    </w:p>
    <w:p>
      <w:pPr>
        <w:pStyle w:val="Heading1"/>
        <w:spacing w:after="160" w:before="320"/>
      </w:pPr>
      <w:r>
        <w:rPr>
          <w:b/>
          <w:bCs/>
        </w:rPr>
        <w:t xml:space="preserve">Summary of Major Changes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3600"/>
        <w:gridCol w:w="3650"/>
      </w:tblGrid>
      <w:tr>
        <w:tc>
          <w:tcPr>
            <w:tcW w:type="dxa" w:w="210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Subsystem</w:t>
            </w:r>
          </w:p>
        </w:tc>
        <w:tc>
          <w:tcPr>
            <w:tcW w:type="dxa" w:w="360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Breadboard (Initial)</w:t>
            </w:r>
          </w:p>
        </w:tc>
        <w:tc>
          <w:tcPr>
            <w:tcW w:type="dxa" w:w="3650"/>
            <w:shd w:fill="2F5496" w:val="clear"/>
            <w:tcMar>
              <w:top w:type="dxa" w:w="100"/>
              <w:left w:type="dxa" w:w="120"/>
              <w:bottom w:type="dxa" w:w="100"/>
              <w:right w:type="dxa" w:w="120"/>
            </w:tcMar>
          </w:tcPr>
          <w:p>
            <w:r>
              <w:rPr>
                <w:rFonts w:ascii="Calibri" w:cs="Calibri" w:eastAsia="Calibri" w:hAnsi="Calibri"/>
                <w:b/>
                <w:bCs/>
                <w:color w:val="FFFFFF"/>
                <w:sz w:val="20"/>
                <w:szCs w:val="20"/>
              </w:rPr>
              <w:t xml:space="preserve">Final PCB Design</w:t>
            </w:r>
          </w:p>
        </w:tc>
      </w:tr>
      <w:tr>
        <w:tc>
          <w:tcPr>
            <w:tcW w:type="dxa" w:w="2100"/>
            <w:tcMar>
              <w:top w:type="dxa" w:w="100"/>
              <w:left w:type="dxa" w:w="120"/>
              <w:bottom w:type="dxa" w:w="100"/>
              <w:right w:type="dxa" w:w="120"/>
            </w:tcMar>
          </w:tcPr>
          <w:p>
            <w:r>
              <w:rPr>
                <w:rFonts w:ascii="Calibri" w:cs="Calibri" w:eastAsia="Calibri" w:hAnsi="Calibri"/>
                <w:b w:val="false"/>
                <w:bCs w:val="false"/>
                <w:color w:val="000000"/>
                <w:sz w:val="20"/>
                <w:szCs w:val="20"/>
              </w:rPr>
              <w:t xml:space="preserve">Power input</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5V/1A supply boosted to 12V (XL6009), plus separate logic rail</w:t>
            </w:r>
          </w:p>
        </w:tc>
        <w:tc>
          <w:tcPr>
            <w:tcW w:type="dxa" w:w="3650"/>
            <w:tcMar>
              <w:top w:type="dxa" w:w="100"/>
              <w:left w:type="dxa" w:w="120"/>
              <w:bottom w:type="dxa" w:w="100"/>
              <w:right w:type="dxa" w:w="120"/>
            </w:tcMar>
          </w:tcPr>
          <w:p>
            <w:r>
              <w:rPr>
                <w:rFonts w:ascii="Calibri" w:cs="Calibri" w:eastAsia="Calibri" w:hAnsi="Calibri"/>
                <w:b w:val="false"/>
                <w:bCs w:val="false"/>
                <w:color w:val="000000"/>
                <w:sz w:val="20"/>
                <w:szCs w:val="20"/>
              </w:rPr>
              <w:t xml:space="preserve">Single 12V/1.5A barrel-jack input; on-board TPS54240 buck + TPS61221 boost derive regulated 5V/3.3V logic rails</w:t>
            </w:r>
          </w:p>
        </w:tc>
      </w:tr>
      <w:tr>
        <w:tc>
          <w:tcPr>
            <w:tcW w:type="dxa" w:w="2100"/>
            <w:tcMar>
              <w:top w:type="dxa" w:w="100"/>
              <w:left w:type="dxa" w:w="120"/>
              <w:bottom w:type="dxa" w:w="100"/>
              <w:right w:type="dxa" w:w="120"/>
            </w:tcMar>
          </w:tcPr>
          <w:p>
            <w:r>
              <w:rPr>
                <w:rFonts w:ascii="Calibri" w:cs="Calibri" w:eastAsia="Calibri" w:hAnsi="Calibri"/>
                <w:b w:val="false"/>
                <w:bCs w:val="false"/>
                <w:color w:val="000000"/>
                <w:sz w:val="20"/>
                <w:szCs w:val="20"/>
              </w:rPr>
              <w:t xml:space="preserve">Audio amplifier</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TPA3116D2 class-D amp, boosted 12V rail</w:t>
            </w:r>
          </w:p>
        </w:tc>
        <w:tc>
          <w:tcPr>
            <w:tcW w:type="dxa" w:w="3650"/>
            <w:tcMar>
              <w:top w:type="dxa" w:w="100"/>
              <w:left w:type="dxa" w:w="120"/>
              <w:bottom w:type="dxa" w:w="100"/>
              <w:right w:type="dxa" w:w="120"/>
            </w:tcMar>
          </w:tcPr>
          <w:p>
            <w:r>
              <w:rPr>
                <w:rFonts w:ascii="Calibri" w:cs="Calibri" w:eastAsia="Calibri" w:hAnsi="Calibri"/>
                <w:b w:val="false"/>
                <w:bCs w:val="false"/>
                <w:color w:val="000000"/>
                <w:sz w:val="20"/>
                <w:szCs w:val="20"/>
              </w:rPr>
              <w:t xml:space="preserve">Dual TDA2030 amplifiers run directly off the 12V input, driving stereo speakers</w:t>
            </w:r>
          </w:p>
        </w:tc>
      </w:tr>
      <w:tr>
        <w:tc>
          <w:tcPr>
            <w:tcW w:type="dxa" w:w="2100"/>
            <w:tcMar>
              <w:top w:type="dxa" w:w="100"/>
              <w:left w:type="dxa" w:w="120"/>
              <w:bottom w:type="dxa" w:w="100"/>
              <w:right w:type="dxa" w:w="120"/>
            </w:tcMar>
          </w:tcPr>
          <w:p>
            <w:r>
              <w:rPr>
                <w:rFonts w:ascii="Calibri" w:cs="Calibri" w:eastAsia="Calibri" w:hAnsi="Calibri"/>
                <w:b w:val="false"/>
                <w:bCs w:val="false"/>
                <w:color w:val="000000"/>
                <w:sz w:val="20"/>
                <w:szCs w:val="20"/>
              </w:rPr>
              <w:t xml:space="preserve">Microphone</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MAX4466 analog electret mic into ADC, with an added RC low-pass filter</w:t>
            </w:r>
          </w:p>
        </w:tc>
        <w:tc>
          <w:tcPr>
            <w:tcW w:type="dxa" w:w="3650"/>
            <w:tcMar>
              <w:top w:type="dxa" w:w="100"/>
              <w:left w:type="dxa" w:w="120"/>
              <w:bottom w:type="dxa" w:w="100"/>
              <w:right w:type="dxa" w:w="120"/>
            </w:tcMar>
          </w:tcPr>
          <w:p>
            <w:r>
              <w:rPr>
                <w:rFonts w:ascii="Calibri" w:cs="Calibri" w:eastAsia="Calibri" w:hAnsi="Calibri"/>
                <w:b w:val="false"/>
                <w:bCs w:val="false"/>
                <w:color w:val="000000"/>
                <w:sz w:val="20"/>
                <w:szCs w:val="20"/>
              </w:rPr>
              <w:t xml:space="preserve">INMP441 digital I2S MIC (via 2×3 header), removing the analog front end entirely</w:t>
            </w:r>
          </w:p>
        </w:tc>
      </w:tr>
      <w:tr>
        <w:tc>
          <w:tcPr>
            <w:tcW w:type="dxa" w:w="2100"/>
            <w:tcMar>
              <w:top w:type="dxa" w:w="100"/>
              <w:left w:type="dxa" w:w="120"/>
              <w:bottom w:type="dxa" w:w="100"/>
              <w:right w:type="dxa" w:w="120"/>
            </w:tcMar>
          </w:tcPr>
          <w:p>
            <w:r>
              <w:rPr>
                <w:rFonts w:ascii="Calibri" w:cs="Calibri" w:eastAsia="Calibri" w:hAnsi="Calibri"/>
                <w:b w:val="false"/>
                <w:bCs w:val="false"/>
                <w:color w:val="000000"/>
                <w:sz w:val="20"/>
                <w:szCs w:val="20"/>
              </w:rPr>
              <w:t xml:space="preserve">User controls</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None — fixed playback level</w:t>
            </w:r>
          </w:p>
        </w:tc>
        <w:tc>
          <w:tcPr>
            <w:tcW w:type="dxa" w:w="3650"/>
            <w:tcMar>
              <w:top w:type="dxa" w:w="100"/>
              <w:left w:type="dxa" w:w="120"/>
              <w:bottom w:type="dxa" w:w="100"/>
              <w:right w:type="dxa" w:w="120"/>
            </w:tcMar>
          </w:tcPr>
          <w:p>
            <w:r>
              <w:rPr>
                <w:rFonts w:ascii="Calibri" w:cs="Calibri" w:eastAsia="Calibri" w:hAnsi="Calibri"/>
                <w:b w:val="false"/>
                <w:bCs w:val="false"/>
                <w:color w:val="000000"/>
                <w:sz w:val="20"/>
                <w:szCs w:val="20"/>
              </w:rPr>
              <w:t xml:space="preserve">Two potentiometers added for hardware volume control</w:t>
            </w:r>
          </w:p>
        </w:tc>
      </w:tr>
      <w:tr>
        <w:tc>
          <w:tcPr>
            <w:tcW w:type="dxa" w:w="2100"/>
            <w:tcMar>
              <w:top w:type="dxa" w:w="100"/>
              <w:left w:type="dxa" w:w="120"/>
              <w:bottom w:type="dxa" w:w="100"/>
              <w:right w:type="dxa" w:w="120"/>
            </w:tcMar>
          </w:tcPr>
          <w:p>
            <w:r>
              <w:rPr>
                <w:rFonts w:ascii="Calibri" w:cs="Calibri" w:eastAsia="Calibri" w:hAnsi="Calibri"/>
                <w:b w:val="false"/>
                <w:bCs w:val="false"/>
                <w:color w:val="000000"/>
                <w:sz w:val="20"/>
                <w:szCs w:val="20"/>
              </w:rPr>
              <w:t xml:space="preserve">Lighting</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Separate white LED and red mood LED</w:t>
            </w:r>
          </w:p>
        </w:tc>
        <w:tc>
          <w:tcPr>
            <w:tcW w:type="dxa" w:w="3650"/>
            <w:tcMar>
              <w:top w:type="dxa" w:w="100"/>
              <w:left w:type="dxa" w:w="120"/>
              <w:bottom w:type="dxa" w:w="100"/>
              <w:right w:type="dxa" w:w="120"/>
            </w:tcMar>
          </w:tcPr>
          <w:p>
            <w:r>
              <w:rPr>
                <w:rFonts w:ascii="Calibri" w:cs="Calibri" w:eastAsia="Calibri" w:hAnsi="Calibri"/>
                <w:b w:val="false"/>
                <w:bCs w:val="false"/>
                <w:color w:val="000000"/>
                <w:sz w:val="20"/>
                <w:szCs w:val="20"/>
              </w:rPr>
              <w:t xml:space="preserve">Consolidated into a single common-cathode RGB LED (LED_KRGB)</w:t>
            </w:r>
          </w:p>
        </w:tc>
      </w:tr>
      <w:tr>
        <w:tc>
          <w:tcPr>
            <w:tcW w:type="dxa" w:w="2100"/>
            <w:tcMar>
              <w:top w:type="dxa" w:w="100"/>
              <w:left w:type="dxa" w:w="120"/>
              <w:bottom w:type="dxa" w:w="100"/>
              <w:right w:type="dxa" w:w="120"/>
            </w:tcMar>
          </w:tcPr>
          <w:p>
            <w:r>
              <w:rPr>
                <w:rFonts w:ascii="Calibri" w:cs="Calibri" w:eastAsia="Calibri" w:hAnsi="Calibri"/>
                <w:b w:val="false"/>
                <w:bCs w:val="false"/>
                <w:color w:val="000000"/>
                <w:sz w:val="20"/>
                <w:szCs w:val="20"/>
              </w:rPr>
              <w:t xml:space="preserve">Programming interface</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USB-UART via dev board's onboard programmer</w:t>
            </w:r>
          </w:p>
        </w:tc>
        <w:tc>
          <w:tcPr>
            <w:tcW w:type="dxa" w:w="3650"/>
            <w:tcMar>
              <w:top w:type="dxa" w:w="100"/>
              <w:left w:type="dxa" w:w="120"/>
              <w:bottom w:type="dxa" w:w="100"/>
              <w:right w:type="dxa" w:w="120"/>
            </w:tcMar>
          </w:tcPr>
          <w:p>
            <w:r>
              <w:rPr>
                <w:rFonts w:ascii="Calibri" w:cs="Calibri" w:eastAsia="Calibri" w:hAnsi="Calibri"/>
                <w:b w:val="false"/>
                <w:bCs w:val="false"/>
                <w:color w:val="000000"/>
                <w:sz w:val="20"/>
                <w:szCs w:val="20"/>
              </w:rPr>
              <w:t xml:space="preserve">Dedicated USB-C receptacle wired to native USB (GPIO19/20) for direct programming</w:t>
            </w:r>
          </w:p>
        </w:tc>
      </w:tr>
      <w:tr>
        <w:tc>
          <w:tcPr>
            <w:tcW w:type="dxa" w:w="2100"/>
            <w:tcMar>
              <w:top w:type="dxa" w:w="100"/>
              <w:left w:type="dxa" w:w="120"/>
              <w:bottom w:type="dxa" w:w="100"/>
              <w:right w:type="dxa" w:w="120"/>
            </w:tcMar>
          </w:tcPr>
          <w:p>
            <w:r>
              <w:rPr>
                <w:rFonts w:ascii="Calibri" w:cs="Calibri" w:eastAsia="Calibri" w:hAnsi="Calibri"/>
                <w:b w:val="false"/>
                <w:bCs w:val="false"/>
                <w:color w:val="000000"/>
                <w:sz w:val="20"/>
                <w:szCs w:val="20"/>
              </w:rPr>
              <w:t xml:space="preserve">Input protection</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None documented</w:t>
            </w:r>
          </w:p>
        </w:tc>
        <w:tc>
          <w:tcPr>
            <w:tcW w:type="dxa" w:w="3650"/>
            <w:tcMar>
              <w:top w:type="dxa" w:w="100"/>
              <w:left w:type="dxa" w:w="120"/>
              <w:bottom w:type="dxa" w:w="100"/>
              <w:right w:type="dxa" w:w="120"/>
            </w:tcMar>
          </w:tcPr>
          <w:p>
            <w:r>
              <w:rPr>
                <w:rFonts w:ascii="Calibri" w:cs="Calibri" w:eastAsia="Calibri" w:hAnsi="Calibri"/>
                <w:b w:val="false"/>
                <w:bCs w:val="false"/>
                <w:color w:val="000000"/>
                <w:sz w:val="20"/>
                <w:szCs w:val="20"/>
              </w:rPr>
              <w:t xml:space="preserve">Reverse-polarity/flyback protection added (1N4007 diodes, Schottky diode) on power rails</w:t>
            </w:r>
          </w:p>
        </w:tc>
      </w:tr>
      <w:tr>
        <w:tc>
          <w:tcPr>
            <w:tcW w:type="dxa" w:w="2100"/>
            <w:tcMar>
              <w:top w:type="dxa" w:w="100"/>
              <w:left w:type="dxa" w:w="120"/>
              <w:bottom w:type="dxa" w:w="100"/>
              <w:right w:type="dxa" w:w="120"/>
            </w:tcMar>
          </w:tcPr>
          <w:p>
            <w:r>
              <w:rPr>
                <w:rFonts w:ascii="Calibri" w:cs="Calibri" w:eastAsia="Calibri" w:hAnsi="Calibri"/>
                <w:b w:val="false"/>
                <w:bCs w:val="false"/>
                <w:color w:val="000000"/>
                <w:sz w:val="20"/>
                <w:szCs w:val="20"/>
              </w:rPr>
              <w:t xml:space="preserve">LED matrix / OLED / DFPlayer / buzzer</w:t>
            </w:r>
          </w:p>
        </w:tc>
        <w:tc>
          <w:tcPr>
            <w:tcW w:type="dxa" w:w="3600"/>
            <w:tcMar>
              <w:top w:type="dxa" w:w="100"/>
              <w:left w:type="dxa" w:w="120"/>
              <w:bottom w:type="dxa" w:w="100"/>
              <w:right w:type="dxa" w:w="120"/>
            </w:tcMar>
          </w:tcPr>
          <w:p>
            <w:r>
              <w:rPr>
                <w:rFonts w:ascii="Calibri" w:cs="Calibri" w:eastAsia="Calibri" w:hAnsi="Calibri"/>
                <w:b w:val="false"/>
                <w:bCs w:val="false"/>
                <w:color w:val="000000"/>
                <w:sz w:val="20"/>
                <w:szCs w:val="20"/>
              </w:rPr>
              <w:t xml:space="preserve">Present, wired ad hoc on breadboard</w:t>
            </w:r>
          </w:p>
        </w:tc>
        <w:tc>
          <w:tcPr>
            <w:tcW w:type="dxa" w:w="3650"/>
            <w:tcMar>
              <w:top w:type="dxa" w:w="100"/>
              <w:left w:type="dxa" w:w="120"/>
              <w:bottom w:type="dxa" w:w="100"/>
              <w:right w:type="dxa" w:w="120"/>
            </w:tcMar>
          </w:tcPr>
          <w:p>
            <w:r>
              <w:rPr>
                <w:rFonts w:ascii="Calibri" w:cs="Calibri" w:eastAsia="Calibri" w:hAnsi="Calibri"/>
                <w:b w:val="false"/>
                <w:bCs w:val="false"/>
                <w:color w:val="000000"/>
                <w:sz w:val="20"/>
                <w:szCs w:val="20"/>
              </w:rPr>
              <w:t xml:space="preserve">Retained functionally unchanged, formalized as labeled headers (Conn_01x05_MAX7219, Conn_01x04_oled, Conn_02x08_DFplayer_DFR0299)</w:t>
            </w:r>
          </w:p>
        </w:tc>
      </w:tr>
    </w:tbl>
    <w:p>
      <w:pPr>
        <w:pStyle w:val="Heading1"/>
        <w:spacing w:after="160" w:before="320"/>
      </w:pPr>
      <w:r>
        <w:rPr>
          <w:b/>
          <w:bCs/>
        </w:rPr>
        <w:t xml:space="preserve">Detailed Changes</w:t>
      </w:r>
    </w:p>
    <w:p>
      <w:pPr>
        <w:pStyle w:val="Heading2"/>
        <w:spacing w:after="120" w:before="240"/>
      </w:pPr>
      <w:r>
        <w:rPr>
          <w:b/>
          <w:bCs/>
        </w:rPr>
        <w:t xml:space="preserve">1. Power Architecture Consolidation</w:t>
      </w:r>
    </w:p>
    <w:p>
      <w:pPr>
        <w:spacing w:after="160" w:line="276"/>
      </w:pPr>
      <w:r>
        <w:rPr>
          <w:rFonts w:ascii="Calibri" w:cs="Calibri" w:eastAsia="Calibri" w:hAnsi="Calibri"/>
        </w:rPr>
        <w:t xml:space="preserve">The breadboard design (and the original project report) used a boost-converter architecture: a 5V/1A supply was stepped up to 12V via an XL6009 module to drive the amplifier, with the microcontroller and audio decoder kept on an independent 5V rail. The report's own power-budget analysis identified this as a hard ceiling on amplifier output, since a boost converter trades voltage for current rather than creating power, and the documented fix at that stage was to remove the boost stage and drive the amplifier from a dedicated 9V/1A supply instead.</w:t>
      </w:r>
    </w:p>
    <w:p>
      <w:pPr>
        <w:spacing w:after="160" w:line="276"/>
      </w:pPr>
      <w:r>
        <w:rPr>
          <w:rFonts w:ascii="Calibri" w:cs="Calibri" w:eastAsia="Calibri" w:hAnsi="Calibri"/>
        </w:rPr>
        <w:t xml:space="preserve">The final PCB design goes a step further than that documented fix. Rather than running two independently sourced supplies (9V for audio, 5V for logic), the board now accepts a single 12V/1.5A input through one barrel jack, with all lower rails generated on-board: a TPS54240 synchronous buck converter steps the 12V input down for logic-level use, and a TPS61221 fixed-output boost converter supplies a clean 3.3V rail. This is a meaningful simplification for the end user — one supply, one connector — and it also removes the XL6009 module (and its custom-authored KiCad symbol) from the design entirely, since it is no longer needed anywhere in the circuit.</w:t>
      </w:r>
    </w:p>
    <w:p>
      <w:pPr>
        <w:pStyle w:val="Heading2"/>
        <w:spacing w:after="120" w:before="240"/>
      </w:pPr>
      <w:r>
        <w:rPr>
          <w:b/>
          <w:bCs/>
        </w:rPr>
        <w:t xml:space="preserve">2. Amplifier Change: TPA3116D2 → Dual TDA2030</w:t>
      </w:r>
    </w:p>
    <w:p>
      <w:pPr>
        <w:spacing w:after="160" w:line="276"/>
      </w:pPr>
      <w:r>
        <w:rPr>
          <w:rFonts w:ascii="Calibri" w:cs="Calibri" w:eastAsia="Calibri" w:hAnsi="Calibri"/>
        </w:rPr>
        <w:t xml:space="preserve">The original design used a single TPA3116D2 class-D amplifier module, which the project report flags as having bridge-tied (differential) outputs — a detail that required care to avoid shorting the amplifier during wiring. The final schematic replaces this with two TDA2030 amplifier ICs run directly from the 12V rail, one per audio channel, driving two independent speakers documented in the design. This is both an amplifier topology change (from a pre-built breakout module to two directly-integrated ICs) and a functional upgrade from mono to stereo output.</w:t>
      </w:r>
    </w:p>
    <w:p>
      <w:pPr>
        <w:pStyle w:val="Heading2"/>
        <w:spacing w:after="120" w:before="240"/>
      </w:pPr>
      <w:r>
        <w:rPr>
          <w:b/>
          <w:bCs/>
        </w:rPr>
        <w:t xml:space="preserve">3. Microphone Change: MAX4466 → INMP441</w:t>
      </w:r>
    </w:p>
    <w:p>
      <w:pPr>
        <w:spacing w:after="160" w:line="276"/>
      </w:pPr>
      <w:r>
        <w:rPr>
          <w:rFonts w:ascii="Calibri" w:cs="Calibri" w:eastAsia="Calibri" w:hAnsi="Calibri"/>
        </w:rPr>
        <w:t xml:space="preserve">The breadboard build and original report describe a MAX4466 analog electret microphone breakout feeding the ESP32's ADC in continuous sampling mode, with an RC low-pass filter added during schematic capture to reduce high-frequency noise ahead of wake-word inference. The final design replaces this entirely with an INMP441 digital MEMS microphone, connected via a 2×3 header and communicating over I2S rather than analog ADC sampling.</w:t>
      </w:r>
    </w:p>
    <w:p>
      <w:pPr>
        <w:spacing w:after="160" w:line="276"/>
      </w:pPr>
      <w:r>
        <w:rPr>
          <w:rFonts w:ascii="Calibri" w:cs="Calibri" w:eastAsia="Calibri" w:hAnsi="Calibri"/>
        </w:rPr>
        <w:t xml:space="preserve">This is a protocol-level change, not just a component swap: it moves audio capture off the ADC peripheral entirely and onto I2S, which removes the need for the RC filter (I2S microphones output a digital PCM stream rather than an analog signal riding on a DC bias) and generally improves noise immunity for wake-word detection, at the cost of needing to update the firmware's audio capture path from ADC-based sampling to an I2S driver.</w:t>
      </w:r>
    </w:p>
    <w:p>
      <w:pPr>
        <w:pStyle w:val="Heading2"/>
        <w:spacing w:after="120" w:before="240"/>
      </w:pPr>
      <w:r>
        <w:rPr>
          <w:b/>
          <w:bCs/>
        </w:rPr>
        <w:t xml:space="preserve">4. Added Hardware Volume Control</w:t>
      </w:r>
    </w:p>
    <w:p>
      <w:pPr>
        <w:spacing w:after="160" w:line="276"/>
      </w:pPr>
      <w:r>
        <w:rPr>
          <w:rFonts w:ascii="Calibri" w:cs="Calibri" w:eastAsia="Calibri" w:hAnsi="Calibri"/>
        </w:rPr>
        <w:t xml:space="preserve">The breadboard design had no user-adjustable volume; playback level was fixed in firmware or left at the DFPlayer Mini's default. The final PCB adds two potentiometers into the audio signal path, giving physical, hardware-level volume control that did not exist in the original prototype.</w:t>
      </w:r>
    </w:p>
    <w:p>
      <w:pPr>
        <w:pStyle w:val="Heading2"/>
        <w:spacing w:after="120" w:before="240"/>
      </w:pPr>
      <w:r>
        <w:rPr>
          <w:b/>
          <w:bCs/>
        </w:rPr>
        <w:t xml:space="preserve">5. Lighting Consolidation: Discrete LEDs → RGB LED</w:t>
      </w:r>
    </w:p>
    <w:p>
      <w:pPr>
        <w:spacing w:after="160" w:line="276"/>
      </w:pPr>
      <w:r>
        <w:rPr>
          <w:rFonts w:ascii="Calibri" w:cs="Calibri" w:eastAsia="Calibri" w:hAnsi="Calibri"/>
        </w:rPr>
        <w:t xml:space="preserve">The original design used two separate single-color LEDs (a white light-on indicator and a red mood-light indicator), each requiring its own GPIO and current-limiting resistor. The final schematic consolidates both into a single common-cathode RGB LED package, reducing part count while preserving both indicated states (and opening the door to additional colors if the intent set is expanded in the future, per the original report's Future Work section).</w:t>
      </w:r>
    </w:p>
    <w:p>
      <w:pPr>
        <w:pStyle w:val="Heading2"/>
        <w:spacing w:after="120" w:before="240"/>
      </w:pPr>
      <w:r>
        <w:rPr>
          <w:b/>
          <w:bCs/>
        </w:rPr>
        <w:t xml:space="preserve">6. Dedicated USB-C Programming Interface</w:t>
      </w:r>
    </w:p>
    <w:p>
      <w:pPr>
        <w:spacing w:after="160" w:line="276"/>
      </w:pPr>
      <w:r>
        <w:rPr>
          <w:rFonts w:ascii="Calibri" w:cs="Calibri" w:eastAsia="Calibri" w:hAnsi="Calibri"/>
        </w:rPr>
        <w:t xml:space="preserve">The breadboard build was programmed through a development board's built-in USB-UART bridge. Since the final design is a standalone PCB rather than a dev board, a USB-C receptacle was added with native USB D+/D− wired directly to the ESP32-S3's native USB pins (GPIO19/20), along with the associated CC1/CC2 pull-downs and EN/BOOT reset circuitry needed for programming. VBUS is intentionally left unconnected, since the board is powered separately through the 12V input — USB is used for data/programming only, not power.</w:t>
      </w:r>
    </w:p>
    <w:p>
      <w:pPr>
        <w:pStyle w:val="Heading2"/>
        <w:spacing w:after="120" w:before="240"/>
      </w:pPr>
      <w:r>
        <w:rPr>
          <w:b/>
          <w:bCs/>
        </w:rPr>
        <w:t xml:space="preserve">7. Input Protection Circuitry</w:t>
      </w:r>
    </w:p>
    <w:p>
      <w:pPr>
        <w:spacing w:after="160" w:line="276"/>
      </w:pPr>
      <w:r>
        <w:rPr>
          <w:rFonts w:ascii="Calibri" w:cs="Calibri" w:eastAsia="Calibri" w:hAnsi="Calibri"/>
        </w:rPr>
        <w:t xml:space="preserve">The original breadboard build and report do not document any reverse-polarity or transient protection on the power input. The final schematic adds this: 1N4007 rectifier diodes and a Schottky diode are placed on the power rails to protect the regulators and downstream circuitry from a reversed or miswired supply connector — a reasonable addition once the design moves from a bench prototype (where the supply is manually connected and observed) to a fabricated board intended to be more resilient in normal use.</w:t>
      </w:r>
    </w:p>
    <w:p>
      <w:pPr>
        <w:pStyle w:val="Heading2"/>
        <w:spacing w:after="120" w:before="240"/>
      </w:pPr>
      <w:r>
        <w:rPr>
          <w:b/>
          <w:bCs/>
        </w:rPr>
        <w:t xml:space="preserve">8. Subsystems Carried Over Unchanged</w:t>
      </w:r>
    </w:p>
    <w:p>
      <w:pPr>
        <w:spacing w:after="160" w:line="276"/>
      </w:pPr>
      <w:r>
        <w:rPr>
          <w:rFonts w:ascii="Calibri" w:cs="Calibri" w:eastAsia="Calibri" w:hAnsi="Calibri"/>
        </w:rPr>
        <w:t xml:space="preserve">Not everything changed. The MAX7219 8×8 LED matrix, the SSD1306-class status OLED, the DFPlayer Mini audio decoder, and the confirmation buzzer all remain functionally identical to the breadboard version. In the final schematic these are represented as labeled generic connector headers (Conn_01x05_MAX7219, Conn_01x04_oled, Conn_02x08_Odd_Even_DFplayer_DFR0299) rather than breakout-board footprints, which is a documentation/formalization change rather than a functional one — it reflects how those modules physically connect to the board via headers, not a redesign of their role in the system.</w:t>
      </w:r>
    </w:p>
    <w:p>
      <w:pPr>
        <w:pStyle w:val="Heading1"/>
        <w:spacing w:after="160" w:before="320"/>
      </w:pPr>
      <w:r>
        <w:rPr>
          <w:b/>
          <w:bCs/>
        </w:rPr>
        <w:t xml:space="preserve">Verification Status</w:t>
      </w:r>
    </w:p>
    <w:p>
      <w:pPr>
        <w:spacing w:after="160" w:line="276"/>
      </w:pPr>
      <w:r>
        <w:rPr>
          <w:rFonts w:ascii="Calibri" w:cs="Calibri" w:eastAsia="Calibri" w:hAnsi="Calibri"/>
        </w:rPr>
        <w:t xml:space="preserve">The final schematic and PCB have both passed formal design-rule checking. ERC reports zero errors, with two harmless library-sync warnings on the barrel jack and USB-C symbols (cosmetic mismatches against the current library copy, not electrical issues). DRC reports zero unresolved violations — the 13 flagged items (12 thermal-via drill sizes on the ESP32-S3 footprint and 1 hole-clearance flag on the USB-C footprint) are all inherent to the official component footprints used and have been explicitly excluded after confirming they pose no fabrication risk.</w:t>
      </w:r>
    </w:p>
    <w:p>
      <w:pPr>
        <w:pStyle w:val="Heading1"/>
        <w:spacing w:after="160" w:before="320"/>
      </w:pPr>
      <w:r>
        <w:rPr>
          <w:b/>
          <w:bCs/>
        </w:rPr>
        <w:t xml:space="preserve">Conclusion</w:t>
      </w:r>
    </w:p>
    <w:p>
      <w:pPr>
        <w:spacing w:after="160" w:line="276"/>
      </w:pPr>
      <w:r>
        <w:rPr>
          <w:rFonts w:ascii="Calibri" w:cs="Calibri" w:eastAsia="Calibri" w:hAnsi="Calibri"/>
        </w:rPr>
        <w:t xml:space="preserve">The transition from breadboard to PCB was not a direct transcription of the original circuit. Formalizing the design surfaced real constraints — amplifier output topology, protocol reliability for audio capture, single-supply usability, and basic input protection — that led to deliberate changes in the microphone, amplifier, and power architecture beyond what the original project report anticipated. The result is a design that is more power-efficient, more robust to miswiring, and closer to a genuinely finished product than the original proof of concept, while preserving the core command flow, wake-word architecture, and output subsystems that made the original build work.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2026-07-26T10:12:10.727Z</dcterms:created>
  <dcterms:modified xsi:type="dcterms:W3CDTF">2026-07-26T10:12:10.745Z</dcterms:modified>
</cp:coreProperties>
</file>

<file path=docProps/custom.xml><?xml version="1.0" encoding="utf-8"?>
<Properties xmlns="http://schemas.openxmlformats.org/officeDocument/2006/custom-properties" xmlns:vt="http://schemas.openxmlformats.org/officeDocument/2006/docPropsVTypes"/>
</file>