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2"/>
        </w:rPr>
        <w:t>Extending DaisyRec 2.0 with CDAE</w:t>
      </w:r>
    </w:p>
    <w:p>
      <w:pPr>
        <w:jc w:val="center"/>
      </w:pPr>
      <w:r>
        <w:rPr>
          <w:rFonts w:ascii="Arial" w:hAnsi="Arial" w:eastAsia="Arial" w:cs="Arial"/>
          <w:i/>
        </w:rPr>
        <w:t>Warm-start full-ranking comparison on MovieLens 1M and Amazon Digital Music</w:t>
      </w:r>
    </w:p>
    <w:p>
      <w:pPr>
        <w:jc w:val="center"/>
      </w:pPr>
      <w:r>
        <w:rPr>
          <w:rFonts w:ascii="Arial" w:hAnsi="Arial" w:eastAsia="Arial" w:cs="Arial"/>
          <w:b/>
        </w:rPr>
        <w:t>Name: Yanyu Wen     Student ID: [YOUR STUDENT ID]</w:t>
      </w:r>
    </w:p>
    <w:p>
      <w:pPr>
        <w:pStyle w:val="Heading1"/>
      </w:pPr>
      <w:r>
        <w:rPr>
          <w:rFonts w:ascii="Arial" w:hAnsi="Arial" w:eastAsia="Arial" w:cs="Arial"/>
        </w:rPr>
        <w:t>1 Introduction</w:t>
      </w:r>
    </w:p>
    <w:p>
      <w:pPr>
        <w:spacing w:after="60" w:line="240" w:lineRule="auto"/>
      </w:pPr>
      <w:r>
        <w:rPr>
          <w:rFonts w:ascii="Arial" w:hAnsi="Arial" w:eastAsia="Arial" w:cs="Arial"/>
        </w:rPr>
        <w:t>This project integrates Collaborative Denoising Auto-Encoder (CDAE) [1] into DaisyRec 2.0 and compares it with its EASE [2] and Multi-VAE [3] baselines under one reproducible warm-start full-ranking protocol. MovieLens 1M and the 2014 Amazon Digital Music ratings-only release provide dense movie and sparse e-commerce settings. Because they also differ in domain, scale and temporal coverage, results are interpreted as dataset-specific trends rather than causal effects of sparsity.</w:t>
      </w:r>
    </w:p>
    <w:p>
      <w:pPr>
        <w:pStyle w:val="Heading2"/>
      </w:pPr>
      <w:r>
        <w:rPr>
          <w:rFonts w:ascii="Arial" w:hAnsi="Arial" w:eastAsia="Arial" w:cs="Arial"/>
        </w:rPr>
        <w:t>1.1 Data diagnosis and fixed decision rule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9"/>
        <w:gridCol w:w="1219"/>
        <w:gridCol w:w="1219"/>
        <w:gridCol w:w="1219"/>
        <w:gridCol w:w="1219"/>
        <w:gridCol w:w="1219"/>
        <w:gridCol w:w="1219"/>
        <w:gridCol w:w="1219"/>
      </w:tblGrid>
      <w:tr>
        <w:tc>
          <w:tcPr>
            <w:tcW w:type="dxa" w:w="1512"/>
            <w:shd w:fill="D9EAF7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9"/>
              </w:rPr>
              <w:t>Dataset</w:t>
            </w:r>
          </w:p>
        </w:tc>
        <w:tc>
          <w:tcPr>
            <w:tcW w:type="dxa" w:w="792"/>
            <w:shd w:fill="D9EAF7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9"/>
              </w:rPr>
              <w:t>Users</w:t>
            </w:r>
          </w:p>
        </w:tc>
        <w:tc>
          <w:tcPr>
            <w:tcW w:type="dxa" w:w="864"/>
            <w:shd w:fill="D9EAF7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9"/>
              </w:rPr>
              <w:t>Items</w:t>
            </w:r>
          </w:p>
        </w:tc>
        <w:tc>
          <w:tcPr>
            <w:tcW w:type="dxa" w:w="1080"/>
            <w:shd w:fill="D9EAF7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9"/>
              </w:rPr>
              <w:t>Events</w:t>
            </w:r>
          </w:p>
        </w:tc>
        <w:tc>
          <w:tcPr>
            <w:tcW w:type="dxa" w:w="936"/>
            <w:shd w:fill="D9EAF7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9"/>
              </w:rPr>
              <w:t>Density</w:t>
            </w:r>
          </w:p>
        </w:tc>
        <w:tc>
          <w:tcPr>
            <w:tcW w:type="dxa" w:w="792"/>
            <w:shd w:fill="D9EAF7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9"/>
              </w:rPr>
              <w:t>Train</w:t>
              <w:br/>
              <w:t>ratio</w:t>
            </w:r>
          </w:p>
        </w:tc>
        <w:tc>
          <w:tcPr>
            <w:tcW w:type="dxa" w:w="1296"/>
            <w:shd w:fill="D9EAF7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9"/>
              </w:rPr>
              <w:t>Warm test</w:t>
              <w:br/>
              <w:t>interactions</w:t>
            </w:r>
          </w:p>
        </w:tc>
        <w:tc>
          <w:tcPr>
            <w:tcW w:type="dxa" w:w="864"/>
            <w:shd w:fill="D9EAF7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9"/>
              </w:rPr>
              <w:t>Eval.</w:t>
              <w:br/>
              <w:t>users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9"/>
              </w:rPr>
              <w:t>ML-1M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9"/>
              </w:rPr>
              <w:t>6,040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9"/>
              </w:rPr>
              <w:t>3,260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9"/>
              </w:rPr>
              <w:t>998,539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9"/>
              </w:rPr>
              <w:t>5.071%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9"/>
              </w:rPr>
              <w:t>0.797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9"/>
              </w:rPr>
              <w:t>105,699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9"/>
              </w:rPr>
              <w:t>1,152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9"/>
              </w:rPr>
              <w:t>Amazon Music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9"/>
              </w:rPr>
              <w:t>5,729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9"/>
              </w:rPr>
              <w:t>9,267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9"/>
              </w:rPr>
              <w:t>65,344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9"/>
              </w:rPr>
              <w:t>0.123%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9"/>
              </w:rPr>
              <w:t>0.800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9"/>
              </w:rPr>
              <w:t>4,065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9"/>
              </w:rPr>
              <w:t>1,294</w:t>
            </w:r>
          </w:p>
        </w:tc>
      </w:tr>
    </w:tbl>
    <w:p>
      <w:pPr>
        <w:spacing w:after="60" w:line="240" w:lineRule="auto"/>
      </w:pPr>
      <w:r>
        <w:rPr>
          <w:rFonts w:ascii="Arial" w:hAnsi="Arial" w:eastAsia="Arial" w:cs="Arial"/>
        </w:rPr>
        <w:t>The rule was fixed before modelling: retain DaisyRec's one-pass 10filter unless fewer than 500 warm-start test users remain. Both datasets pass. Amazon 5filter was rejected because 20,356 items require a 3.09 GiB float64 item matrix before EASE's inverse/storage overhead. The original Amazon file has 836,006 headerless rows; its SHA-256 is recorded in README.</w:t>
      </w:r>
    </w:p>
    <w:p>
      <w:pPr>
        <w:spacing w:after="60"/>
      </w:pPr>
      <w:r>
        <w:rPr>
          <w:rFonts w:ascii="Arial" w:hAnsi="Arial" w:eastAsia="Arial" w:cs="Arial"/>
        </w:rPr>
        <w:t xml:space="preserve">Repository: </w:t>
      </w:r>
      <w:hyperlink r:id="rId9">
        <w:r>
          <w:rPr>
            <w:rFonts w:ascii="Arial" w:hAnsi="Arial" w:eastAsia="Arial" w:cs="Arial"/>
            <w:color w:val="0563C1"/>
            <w:u w:val="single"/>
          </w:rPr>
          <w:t>github.com/Krystyna229/CA6124-Individual-Project</w:t>
        </w:r>
      </w:hyperlink>
    </w:p>
    <w:p>
      <w:r>
        <w:rPr>
          <w:rFonts w:ascii="Arial" w:hAnsi="Arial" w:eastAsia="Arial" w:cs="Arial"/>
        </w:rPr>
        <w:br w:type="page"/>
      </w:r>
    </w:p>
    <w:p>
      <w:pPr>
        <w:pStyle w:val="Heading1"/>
      </w:pPr>
      <w:r>
        <w:rPr>
          <w:rFonts w:ascii="Arial" w:hAnsi="Arial" w:eastAsia="Arial" w:cs="Arial"/>
        </w:rPr>
        <w:t>2 CDAE and non-destructive DaisyRec extension</w:t>
      </w:r>
    </w:p>
    <w:p>
      <w:pPr>
        <w:spacing w:after="60" w:line="240" w:lineRule="auto"/>
      </w:pPr>
      <w:r>
        <w:rPr>
          <w:rFonts w:ascii="Arial" w:hAnsi="Arial" w:eastAsia="Arial" w:cs="Arial"/>
        </w:rPr>
        <w:t>For binary history xᵤ, CDAE applies training-only dropout and computes hᵤ = ReLU(W₁x̃ᵤ + vᵤ + b₁), where vᵤ is a user embedding; decoder logits are zᵤ = W₂hᵤ + b₂. Training uses full-history binary cross-entropy with optional L1/L2 penalties, while eval() disables corruption. ReLU and full-history BCE, rather than the original paper's sigmoid/tanh and negative-sampling variants [1], are deliberate DaisyRec integration choices.</w:t>
      </w:r>
    </w:p>
    <w:p>
      <w:pPr>
        <w:spacing w:after="60" w:line="240" w:lineRule="auto"/>
      </w:pPr>
      <w:r>
        <w:rPr>
          <w:rFonts w:ascii="Arial" w:hAnsi="Arial" w:eastAsia="Arial" w:cs="Arial"/>
        </w:rPr>
        <w:t>CDAE subclasses AERecommender and reuses DaisyRec's data, optimizer, device and training utilities. The added evaluation options - day split, warm start, full ranking, NDCG@10 tuning and per-user metrics - are opt-in; defaults and existing baselines remain unchanged. Seven regression tests cover the original defaults and all new paths.</w:t>
      </w:r>
    </w:p>
    <w:p>
      <w:pPr>
        <w:pStyle w:val="Heading1"/>
      </w:pPr>
      <w:r>
        <w:rPr>
          <w:rFonts w:ascii="Arial" w:hAnsi="Arial" w:eastAsia="Arial" w:cs="Arial"/>
        </w:rPr>
        <w:t>3 Experimental protocol</w:t>
      </w:r>
    </w:p>
    <w:p>
      <w:pPr>
        <w:spacing w:after="60" w:line="240" w:lineRule="auto"/>
      </w:pPr>
      <w:r>
        <w:rPr>
          <w:rFonts w:ascii="Arial" w:hAnsi="Arial" w:eastAsia="Arial" w:cs="Arial"/>
        </w:rPr>
        <w:t>Ratings become implicit interactions after duplicate user-item removal. A deterministic boundary between complete calendar days is chosen nearest 80/20, keeping equal-date Amazon events together; Table 1 reports the resulting ratios.</w:t>
      </w:r>
    </w:p>
    <w:p>
      <w:pPr>
        <w:spacing w:after="60" w:line="240" w:lineRule="auto"/>
      </w:pPr>
      <w:r>
        <w:rPr>
          <w:rFonts w:ascii="Arial" w:hAnsi="Arial" w:eastAsia="Arial" w:cs="Arial"/>
        </w:rPr>
        <w:t>Warm-start evaluation retains test users/items seen in training; tuning applies the same rule to its smaller training subset. Full ranking scores every training-seen item and masks prior positives. Final cohorts contain 1,152 ML-1M users / 105,699 interactions and 1,294 Amazon users / 4,065 interactions.</w:t>
      </w:r>
    </w:p>
    <w:p>
      <w:pPr>
        <w:spacing w:after="60" w:line="240" w:lineRule="auto"/>
      </w:pPr>
      <w:r>
        <w:rPr>
          <w:rFonts w:ascii="Arial" w:hAnsi="Arial" w:eastAsia="Arial" w:cs="Arial"/>
        </w:rPr>
        <w:t>DaisyRec's tune.py (Optuna TPE, seed 2022) runs 20 trials per group on validation NDCG@10. Winners are retrained and tested once at K ∈ {1,5,10,20,30,50}. CDAE and Multi-VAE use Adam for 50 epochs without early stopping; their losses are BCE+L1/L2 and multinomial+KL, respectively. Multi-VAE anneals per mini-batch over 400 steps, so every searched cap is reached. EASE is closed-form.</w:t>
      </w:r>
    </w:p>
    <w:p>
      <w:pPr>
        <w:pStyle w:val="Heading2"/>
      </w:pPr>
      <w:r>
        <w:rPr>
          <w:rFonts w:ascii="Arial" w:hAnsi="Arial" w:eastAsia="Arial" w:cs="Arial"/>
        </w:rPr>
        <w:t>3.1 Search spaces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1512"/>
            <w:shd w:fill="D9EAF7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Model</w:t>
            </w:r>
          </w:p>
        </w:tc>
        <w:tc>
          <w:tcPr>
            <w:tcW w:type="dxa" w:w="8424"/>
            <w:shd w:fill="D9EAF7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Search space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CDAE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d {16,32,64,128,256}; drop {0,.1,.3,.5,.7}; batch {64,128,256,512}; lr {5e-5,1e-4,5e-4,.001,.005,.01}; L2 {0,1e-5,1e-4,.001,.01,.1,1}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EASE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regularization {1,5,10,50,100,200,500,1000,2000}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Multi-VAE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d {32,64,128,256,512}; drop {0,.2,.5,.7,.8}; batch {64,128,256,512}; lr {5e-5,1e-4,5e-4,.001,.005,.01}; anneal {.05,.1,.2,.5}</w:t>
            </w:r>
          </w:p>
        </w:tc>
      </w:tr>
    </w:tbl>
    <w:p>
      <w:r>
        <w:rPr>
          <w:rFonts w:ascii="Arial" w:hAnsi="Arial" w:eastAsia="Arial" w:cs="Arial"/>
        </w:rPr>
        <w:br w:type="page"/>
      </w:r>
    </w:p>
    <w:p>
      <w:pPr>
        <w:pStyle w:val="Heading1"/>
      </w:pPr>
      <w:r>
        <w:rPr>
          <w:rFonts w:ascii="Arial" w:hAnsi="Arial" w:eastAsia="Arial" w:cs="Arial"/>
        </w:rPr>
        <w:t>4 Hyperparameter tuning</w:t>
      </w:r>
    </w:p>
    <w:p>
      <w:r>
        <w:rPr>
          <w:rFonts w:ascii="Arial" w:hAnsi="Arial" w:eastAsia="Arial" w:cs="Arial"/>
        </w:rPr>
        <w:drawing>
          <wp:inline xmlns:a="http://schemas.openxmlformats.org/drawingml/2006/main" xmlns:pic="http://schemas.openxmlformats.org/drawingml/2006/picture">
            <wp:extent cx="5532120" cy="30592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ning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059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 w:cs="Arial"/>
          <w:i/>
          <w:sz w:val="20"/>
        </w:rPr>
        <w:t>Figure 1. Individual trial scores and best-so-far validation NDCG@10 (20 trials per group).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1368"/>
            <w:shd w:fill="D9EAF7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9"/>
              </w:rPr>
              <w:t>Dataset</w:t>
            </w:r>
          </w:p>
        </w:tc>
        <w:tc>
          <w:tcPr>
            <w:tcW w:type="dxa" w:w="1152"/>
            <w:shd w:fill="D9EAF7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9"/>
              </w:rPr>
              <w:t>Model</w:t>
            </w:r>
          </w:p>
        </w:tc>
        <w:tc>
          <w:tcPr>
            <w:tcW w:type="dxa" w:w="6120"/>
            <w:shd w:fill="D9EAF7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9"/>
              </w:rPr>
              <w:t>Selected hyperparameters</w:t>
            </w:r>
          </w:p>
        </w:tc>
        <w:tc>
          <w:tcPr>
            <w:tcW w:type="dxa" w:w="1296"/>
            <w:shd w:fill="D9EAF7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9"/>
              </w:rPr>
              <w:t>Val NDCG@10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9"/>
              </w:rPr>
              <w:t>ml-1m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9"/>
              </w:rPr>
              <w:t>EASE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9"/>
              </w:rPr>
              <w:t>reg=10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9"/>
              </w:rPr>
              <w:t>0.3210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9"/>
              </w:rPr>
              <w:t>ml-1m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9"/>
              </w:rPr>
              <w:t>Multi-VAE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9"/>
              </w:rPr>
              <w:t>d=256, drop=0.7, batch=512, lr=0.0001, anneal=0.1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9"/>
              </w:rPr>
              <w:t>0.3492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9"/>
              </w:rPr>
              <w:t>ml-1m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9"/>
              </w:rPr>
              <w:t>CDAE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9"/>
              </w:rPr>
              <w:t>d=64, drop=0.3, batch=256, lr=0.0001, L1=0, L2=0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9"/>
              </w:rPr>
              <w:t>0.3638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9"/>
              </w:rPr>
              <w:t>amazon-music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9"/>
              </w:rPr>
              <w:t>EASE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9"/>
              </w:rPr>
              <w:t>reg=50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9"/>
              </w:rPr>
              <w:t>0.0358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9"/>
              </w:rPr>
              <w:t>amazon-music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9"/>
              </w:rPr>
              <w:t>Multi-VAE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9"/>
              </w:rPr>
              <w:t>d=512, drop=0.2, batch=512, lr=0.001, anneal=0.5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9"/>
              </w:rPr>
              <w:t>0.0449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9"/>
              </w:rPr>
              <w:t>amazon-music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9"/>
              </w:rPr>
              <w:t>CDAE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9"/>
              </w:rPr>
              <w:t>d=256, drop=0.1, batch=256, lr=0.005, L1=0, L2=0.1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9"/>
              </w:rPr>
              <w:t>0.0524</w:t>
            </w:r>
          </w:p>
        </w:tc>
      </w:tr>
    </w:tbl>
    <w:p>
      <w:pPr>
        <w:spacing w:after="60" w:line="240" w:lineRule="auto"/>
      </w:pPr>
      <w:r>
        <w:rPr>
          <w:rFonts w:ascii="Arial" w:hAnsi="Arial" w:eastAsia="Arial" w:cs="Arial"/>
        </w:rPr>
        <w:t>Amazon retains upper-bound optima (Multi-VAE d=512, anneal=0.5; CDAE d=256), so they are best tested settings rather than proven global optima; ML-1M Multi-VAE selects interior d=256 and anneal=0.1. Amazon is also less stable: 8/20 Multi-VAE and 10/20 CDAE trials fall below 0.01 NDCG@10 (4 and 8 below 0.005), while EASE remains within 0.0276-0.0358 and no ML-1M trial falls below 0.01.</w:t>
      </w:r>
    </w:p>
    <w:p>
      <w:pPr>
        <w:pStyle w:val="Heading1"/>
      </w:pPr>
      <w:r>
        <w:rPr>
          <w:rFonts w:ascii="Arial" w:hAnsi="Arial" w:eastAsia="Arial" w:cs="Arial"/>
        </w:rPr>
        <w:t>5 Final 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016"/>
            <w:shd w:fill="D9EAF7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Dataset</w:t>
            </w:r>
          </w:p>
        </w:tc>
        <w:tc>
          <w:tcPr>
            <w:tcW w:type="dxa" w:w="1872"/>
            <w:shd w:fill="D9EAF7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Model</w:t>
            </w:r>
          </w:p>
        </w:tc>
        <w:tc>
          <w:tcPr>
            <w:tcW w:type="dxa" w:w="1584"/>
            <w:shd w:fill="D9EAF7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Recall@10</w:t>
            </w:r>
          </w:p>
        </w:tc>
        <w:tc>
          <w:tcPr>
            <w:tcW w:type="dxa" w:w="1584"/>
            <w:shd w:fill="D9EAF7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NDCG@10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ml-1m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EASE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0.0400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0.4625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ml-1m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Multi-VAE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0.0459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0.4980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ml-1m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CDAE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0.0433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0.4992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amazon-music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EASE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0.0302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0.0415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amazon-music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Multi-VAE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0.0253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0.0383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amazon-music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CDAE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0.0286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0.0400</w:t>
            </w:r>
          </w:p>
        </w:tc>
      </w:tr>
    </w:tbl>
    <w:p>
      <w:r>
        <w:rPr>
          <w:rFonts w:ascii="Arial" w:hAnsi="Arial" w:eastAsia="Arial" w:cs="Arial"/>
        </w:rPr>
        <w:drawing>
          <wp:inline xmlns:a="http://schemas.openxmlformats.org/drawingml/2006/main" xmlns:pic="http://schemas.openxmlformats.org/drawingml/2006/picture">
            <wp:extent cx="6080760" cy="2864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864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 w:cs="Arial"/>
          <w:i/>
          <w:sz w:val="20"/>
        </w:rPr>
        <w:t>Figure 2. NDCG, Hit Ratio and Precision across ranking cut-offs under the same full-ranking protocol.</w:t>
      </w:r>
    </w:p>
    <w:p>
      <w:pPr>
        <w:pStyle w:val="Heading1"/>
      </w:pPr>
      <w:r>
        <w:rPr>
          <w:rFonts w:ascii="Arial" w:hAnsi="Arial" w:eastAsia="Arial" w:cs="Arial"/>
        </w:rPr>
        <w:t>6 Analysis and limitations</w:t>
      </w:r>
    </w:p>
    <w:p>
      <w:pPr>
        <w:spacing w:after="60" w:line="240" w:lineRule="auto"/>
      </w:pPr>
      <w:r>
        <w:rPr>
          <w:rFonts w:ascii="Arial" w:hAnsi="Arial" w:eastAsia="Arial" w:cs="Arial"/>
        </w:rPr>
        <w:t>On ML-1M, CDAE has the highest NDCG@10 (0.4992), but Multi-VAE leads Recall@10 (0.0459 versus 0.0433). Their paired NDCG difference is only 0.00120 and its 10,000-resample 95% CI [-0.0111, 0.0136] crosses zero; both neural models reliably exceed EASE. Metric choice therefore changes the top model, while the nearly overlapping Hit Ratio curves offer little separation.</w:t>
      </w:r>
    </w:p>
    <w:p>
      <w:pPr>
        <w:spacing w:after="60" w:line="240" w:lineRule="auto"/>
      </w:pPr>
      <w:r>
        <w:rPr>
          <w:rFonts w:ascii="Arial" w:hAnsi="Arial" w:eastAsia="Arial" w:cs="Arial"/>
        </w:rPr>
        <w:t>On Amazon, EASE leads NDCG@10 (0.0415), followed by CDAE (0.0400) and Multi-VAE (0.0383). Yet all paired 95% intervals cross zero: EASE-CDAE [-0.0072, 0.0100], EASE-Multi-VAE [-0.0050, 0.0117] and CDAE-Multi-VAE [-0.0074, 0.0109]. Thus no pairwise winner is reliable on this cohort.</w:t>
      </w:r>
    </w:p>
    <w:p>
      <w:pPr>
        <w:spacing w:after="60" w:line="240" w:lineRule="auto"/>
      </w:pPr>
      <w:r>
        <w:rPr>
          <w:rFonts w:ascii="Arial" w:hAnsi="Arial" w:eastAsia="Arial" w:cs="Arial"/>
        </w:rPr>
        <w:t>Amazon averages 11.4 interactions per user versus 165.3 on ML-1M; short histories may weaken KL-regularized Multi-VAE and increase neural tuning sensitivity, while EASE uses direct co-occurrence. This is explanatory rather than causal because the datasets differ on several dimensions. Limitations are one split/seed, 20 trials, boundary optima and warm-start scope: only 1,152/6,040 (19.1%) ML-1M and 1,294/5,729 (22.6%) Amazon users are evaluated. Full ranking avoids sampled-candidate bias [7], but cold-start performance remains unknown.</w:t>
      </w:r>
    </w:p>
    <w:p>
      <w:pPr>
        <w:pStyle w:val="Heading2"/>
      </w:pPr>
      <w:r>
        <w:rPr>
          <w:rFonts w:ascii="Arial" w:hAnsi="Arial" w:eastAsia="Arial" w:cs="Arial"/>
        </w:rPr>
        <w:t>References</w:t>
      </w:r>
    </w:p>
    <w:p>
      <w:pPr>
        <w:spacing w:after="0"/>
        <w:ind w:left="216" w:hanging="216"/>
      </w:pPr>
      <w:r>
        <w:rPr>
          <w:rFonts w:ascii="Arial" w:hAnsi="Arial" w:eastAsia="Arial" w:cs="Arial"/>
          <w:sz w:val="20"/>
        </w:rPr>
        <w:t>[1] Y. Wu et al., ‘Collaborative Denoising Auto-Encoders for Top-N Recommender Systems,’ WSDM, 2016.</w:t>
      </w:r>
    </w:p>
    <w:p>
      <w:pPr>
        <w:spacing w:after="0"/>
        <w:ind w:left="216" w:hanging="216"/>
      </w:pPr>
      <w:r>
        <w:rPr>
          <w:rFonts w:ascii="Arial" w:hAnsi="Arial" w:eastAsia="Arial" w:cs="Arial"/>
          <w:sz w:val="20"/>
        </w:rPr>
        <w:t>[2] H. Steck, ‘Embarrassingly Shallow Autoencoders for Sparse Data,’ WWW, 2019.</w:t>
      </w:r>
    </w:p>
    <w:p>
      <w:pPr>
        <w:spacing w:after="0"/>
        <w:ind w:left="216" w:hanging="216"/>
      </w:pPr>
      <w:r>
        <w:rPr>
          <w:rFonts w:ascii="Arial" w:hAnsi="Arial" w:eastAsia="Arial" w:cs="Arial"/>
          <w:sz w:val="20"/>
        </w:rPr>
        <w:t>[3] D. Liang et al., ‘Variational Autoencoders for Collaborative Filtering,’ WWW, 2018.</w:t>
      </w:r>
    </w:p>
    <w:p>
      <w:pPr>
        <w:spacing w:after="0"/>
        <w:ind w:left="216" w:hanging="216"/>
      </w:pPr>
      <w:r>
        <w:rPr>
          <w:rFonts w:ascii="Arial" w:hAnsi="Arial" w:eastAsia="Arial" w:cs="Arial"/>
          <w:sz w:val="20"/>
        </w:rPr>
        <w:t>[4] Z. Sun et al., ‘DaisyRec 2.0: Benchmarking Recommendation for Rigorous Evaluation,’ TPAMI, 2023.</w:t>
      </w:r>
    </w:p>
    <w:p>
      <w:pPr>
        <w:spacing w:after="0"/>
        <w:ind w:left="216" w:hanging="216"/>
      </w:pPr>
      <w:r>
        <w:rPr>
          <w:rFonts w:ascii="Arial" w:hAnsi="Arial" w:eastAsia="Arial" w:cs="Arial"/>
          <w:sz w:val="20"/>
        </w:rPr>
        <w:t>[5] F. Harper and J. Konstan, ‘The MovieLens Datasets: History and Context,’ TiiS, 2015.</w:t>
      </w:r>
    </w:p>
    <w:p>
      <w:pPr>
        <w:spacing w:after="0"/>
        <w:ind w:left="216" w:hanging="216"/>
      </w:pPr>
      <w:r>
        <w:rPr>
          <w:rFonts w:ascii="Arial" w:hAnsi="Arial" w:eastAsia="Arial" w:cs="Arial"/>
          <w:sz w:val="20"/>
        </w:rPr>
        <w:t>[6] J. McAuley et al., ‘Image-based Recommendations on Styles and Substitutes,’ SIGIR, 2015.</w:t>
      </w:r>
    </w:p>
    <w:p>
      <w:pPr>
        <w:spacing w:after="0"/>
        <w:ind w:left="216" w:hanging="216"/>
      </w:pPr>
      <w:r>
        <w:rPr>
          <w:rFonts w:ascii="Arial" w:hAnsi="Arial" w:eastAsia="Arial" w:cs="Arial"/>
          <w:sz w:val="20"/>
        </w:rPr>
        <w:t>[7] W. Krichene and S. Rendle, ‘On Sampled Metrics for Item Recommendation,’ KDD, 2020.</w:t>
      </w:r>
    </w:p>
    <w:sectPr w:rsidR="00FC693F" w:rsidRPr="0006063C" w:rsidSect="00034616">
      <w:footerReference w:type="default" r:id="rId12"/>
      <w:headerReference w:type="default" r:id="rId13"/>
      <w:pgSz w:w="11909" w:h="16834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</w:rPr>
      <w:t>CA6124 Individual Assignment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Krystyna229/CA6124-Individual-Project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footer" Target="footer1.xml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