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 w:eastAsia="Arial" w:cs="Arial"/>
          <w:b/>
          <w:sz w:val="32"/>
        </w:rPr>
        <w:t>Extending DaisyRec 2.0 with CDAE</w:t>
      </w:r>
    </w:p>
    <w:p>
      <w:pPr>
        <w:jc w:val="center"/>
      </w:pPr>
      <w:r>
        <w:rPr>
          <w:rFonts w:ascii="Arial" w:hAnsi="Arial" w:eastAsia="Arial" w:cs="Arial"/>
          <w:i/>
        </w:rPr>
        <w:t>Warm-start full-ranking comparison on MovieLens 1M and Amazon Digital Music</w:t>
      </w:r>
    </w:p>
    <w:p>
      <w:pPr>
        <w:jc w:val="center"/>
      </w:pPr>
      <w:r>
        <w:rPr>
          <w:rFonts w:ascii="Arial" w:hAnsi="Arial" w:eastAsia="Arial" w:cs="Arial"/>
          <w:b/>
        </w:rPr>
        <w:t>Name: Yanyu Wen     Student ID: [YOUR STUDENT ID]</w:t>
      </w:r>
    </w:p>
    <w:p>
      <w:pPr>
        <w:pStyle w:val="Heading1"/>
      </w:pPr>
      <w:r>
        <w:rPr>
          <w:rFonts w:ascii="Arial" w:hAnsi="Arial" w:eastAsia="Arial" w:cs="Arial"/>
        </w:rPr>
        <w:t>1 Introduction</w:t>
      </w:r>
    </w:p>
    <w:p>
      <w:pPr>
        <w:spacing w:after="60" w:line="240" w:lineRule="auto"/>
      </w:pPr>
      <w:r>
        <w:rPr>
          <w:rFonts w:ascii="Arial" w:hAnsi="Arial" w:eastAsia="Arial" w:cs="Arial"/>
        </w:rPr>
        <w:t>This project integrates Collaborative Denoising Auto-Encoder (CDAE) [1], an established top-N method absent from the supplied DaisyRec 2.0 framework, and compares it with two existing baselines: the closed-form linear EASE model [2] and probabilistic Multi-VAE [3]. The research question is: under one reproducible warm-start full-ranking protocol, how does CDAE compare with a shallow item-co-occurrence model and a variational neural model on a dense movie dataset and a sparse e-commerce dataset?</w:t>
      </w:r>
    </w:p>
    <w:p>
      <w:pPr>
        <w:spacing w:after="60" w:line="240" w:lineRule="auto"/>
      </w:pPr>
      <w:r>
        <w:rPr>
          <w:rFonts w:ascii="Arial" w:hAnsi="Arial" w:eastAsia="Arial" w:cs="Arial"/>
        </w:rPr>
        <w:t>MovieLens 1M and the 2014 Amazon Digital Music ratings-only release were selected to create a meaningful cross-domain stress test. Their differences jointly involve domain, scale, sparsity and temporal coverage; therefore observed performance differences are described as dataset-specific trends, not attributed causally to sparsity alone.</w:t>
      </w:r>
    </w:p>
    <w:p>
      <w:pPr>
        <w:pStyle w:val="Heading2"/>
      </w:pPr>
      <w:r>
        <w:rPr>
          <w:rFonts w:ascii="Arial" w:hAnsi="Arial" w:eastAsia="Arial" w:cs="Arial"/>
        </w:rPr>
        <w:t>1.1 Data diagnosis and fixed decision rule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19"/>
        <w:gridCol w:w="1219"/>
        <w:gridCol w:w="1219"/>
        <w:gridCol w:w="1219"/>
        <w:gridCol w:w="1219"/>
        <w:gridCol w:w="1219"/>
        <w:gridCol w:w="1219"/>
        <w:gridCol w:w="1219"/>
      </w:tblGrid>
      <w:tr>
        <w:tc>
          <w:tcPr>
            <w:tcW w:type="dxa" w:w="1512"/>
            <w:shd w:fill="D9EAF7"/>
          </w:tcPr>
          <w:p>
            <w:pPr>
              <w:spacing w:after="0"/>
            </w:pPr>
            <w:r>
              <w:rPr>
                <w:rFonts w:ascii="Arial" w:hAnsi="Arial" w:eastAsia="Arial" w:cs="Arial"/>
                <w:sz w:val="19"/>
              </w:rPr>
              <w:t>Dataset</w:t>
            </w:r>
          </w:p>
        </w:tc>
        <w:tc>
          <w:tcPr>
            <w:tcW w:type="dxa" w:w="792"/>
            <w:shd w:fill="D9EAF7"/>
          </w:tcPr>
          <w:p>
            <w:pPr>
              <w:spacing w:after="0"/>
            </w:pPr>
            <w:r>
              <w:rPr>
                <w:rFonts w:ascii="Arial" w:hAnsi="Arial" w:eastAsia="Arial" w:cs="Arial"/>
                <w:sz w:val="19"/>
              </w:rPr>
              <w:t>Users</w:t>
            </w:r>
          </w:p>
        </w:tc>
        <w:tc>
          <w:tcPr>
            <w:tcW w:type="dxa" w:w="864"/>
            <w:shd w:fill="D9EAF7"/>
          </w:tcPr>
          <w:p>
            <w:pPr>
              <w:spacing w:after="0"/>
            </w:pPr>
            <w:r>
              <w:rPr>
                <w:rFonts w:ascii="Arial" w:hAnsi="Arial" w:eastAsia="Arial" w:cs="Arial"/>
                <w:sz w:val="19"/>
              </w:rPr>
              <w:t>Items</w:t>
            </w:r>
          </w:p>
        </w:tc>
        <w:tc>
          <w:tcPr>
            <w:tcW w:type="dxa" w:w="1080"/>
            <w:shd w:fill="D9EAF7"/>
          </w:tcPr>
          <w:p>
            <w:pPr>
              <w:spacing w:after="0"/>
            </w:pPr>
            <w:r>
              <w:rPr>
                <w:rFonts w:ascii="Arial" w:hAnsi="Arial" w:eastAsia="Arial" w:cs="Arial"/>
                <w:sz w:val="19"/>
              </w:rPr>
              <w:t>Events</w:t>
            </w:r>
          </w:p>
        </w:tc>
        <w:tc>
          <w:tcPr>
            <w:tcW w:type="dxa" w:w="936"/>
            <w:shd w:fill="D9EAF7"/>
          </w:tcPr>
          <w:p>
            <w:pPr>
              <w:spacing w:after="0"/>
            </w:pPr>
            <w:r>
              <w:rPr>
                <w:rFonts w:ascii="Arial" w:hAnsi="Arial" w:eastAsia="Arial" w:cs="Arial"/>
                <w:sz w:val="19"/>
              </w:rPr>
              <w:t>Density</w:t>
            </w:r>
          </w:p>
        </w:tc>
        <w:tc>
          <w:tcPr>
            <w:tcW w:type="dxa" w:w="792"/>
            <w:shd w:fill="D9EAF7"/>
          </w:tcPr>
          <w:p>
            <w:pPr>
              <w:spacing w:after="0"/>
            </w:pPr>
            <w:r>
              <w:rPr>
                <w:rFonts w:ascii="Arial" w:hAnsi="Arial" w:eastAsia="Arial" w:cs="Arial"/>
                <w:sz w:val="19"/>
              </w:rPr>
              <w:t>Train</w:t>
              <w:br/>
              <w:t>ratio</w:t>
            </w:r>
          </w:p>
        </w:tc>
        <w:tc>
          <w:tcPr>
            <w:tcW w:type="dxa" w:w="1296"/>
            <w:shd w:fill="D9EAF7"/>
          </w:tcPr>
          <w:p>
            <w:pPr>
              <w:spacing w:after="0"/>
            </w:pPr>
            <w:r>
              <w:rPr>
                <w:rFonts w:ascii="Arial" w:hAnsi="Arial" w:eastAsia="Arial" w:cs="Arial"/>
                <w:sz w:val="19"/>
              </w:rPr>
              <w:t>Warm test</w:t>
              <w:br/>
              <w:t>interactions</w:t>
            </w:r>
          </w:p>
        </w:tc>
        <w:tc>
          <w:tcPr>
            <w:tcW w:type="dxa" w:w="864"/>
            <w:shd w:fill="D9EAF7"/>
          </w:tcPr>
          <w:p>
            <w:pPr>
              <w:spacing w:after="0"/>
            </w:pPr>
            <w:r>
              <w:rPr>
                <w:rFonts w:ascii="Arial" w:hAnsi="Arial" w:eastAsia="Arial" w:cs="Arial"/>
                <w:sz w:val="19"/>
              </w:rPr>
              <w:t>Eval.</w:t>
              <w:br/>
              <w:t>users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after="0"/>
            </w:pPr>
            <w:r>
              <w:rPr>
                <w:rFonts w:ascii="Arial" w:hAnsi="Arial" w:eastAsia="Arial" w:cs="Arial"/>
                <w:sz w:val="19"/>
              </w:rPr>
              <w:t>ML-1M</w:t>
            </w:r>
          </w:p>
        </w:tc>
        <w:tc>
          <w:tcPr>
            <w:tcW w:type="dxa" w:w="792"/>
            <w:vAlign w:val="center"/>
          </w:tcPr>
          <w:p>
            <w:pPr>
              <w:spacing w:after="0"/>
            </w:pPr>
            <w:r>
              <w:rPr>
                <w:rFonts w:ascii="Arial" w:hAnsi="Arial" w:eastAsia="Arial" w:cs="Arial"/>
                <w:sz w:val="19"/>
              </w:rPr>
              <w:t>6,040</w:t>
            </w:r>
          </w:p>
        </w:tc>
        <w:tc>
          <w:tcPr>
            <w:tcW w:type="dxa" w:w="864"/>
            <w:vAlign w:val="center"/>
          </w:tcPr>
          <w:p>
            <w:pPr>
              <w:spacing w:after="0"/>
            </w:pPr>
            <w:r>
              <w:rPr>
                <w:rFonts w:ascii="Arial" w:hAnsi="Arial" w:eastAsia="Arial" w:cs="Arial"/>
                <w:sz w:val="19"/>
              </w:rPr>
              <w:t>3,260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>
              <w:rPr>
                <w:rFonts w:ascii="Arial" w:hAnsi="Arial" w:eastAsia="Arial" w:cs="Arial"/>
                <w:sz w:val="19"/>
              </w:rPr>
              <w:t>998,539</w:t>
            </w:r>
          </w:p>
        </w:tc>
        <w:tc>
          <w:tcPr>
            <w:tcW w:type="dxa" w:w="936"/>
            <w:vAlign w:val="center"/>
          </w:tcPr>
          <w:p>
            <w:pPr>
              <w:spacing w:after="0"/>
            </w:pPr>
            <w:r>
              <w:rPr>
                <w:rFonts w:ascii="Arial" w:hAnsi="Arial" w:eastAsia="Arial" w:cs="Arial"/>
                <w:sz w:val="19"/>
              </w:rPr>
              <w:t>5.071%</w:t>
            </w:r>
          </w:p>
        </w:tc>
        <w:tc>
          <w:tcPr>
            <w:tcW w:type="dxa" w:w="792"/>
            <w:vAlign w:val="center"/>
          </w:tcPr>
          <w:p>
            <w:pPr>
              <w:spacing w:after="0"/>
            </w:pPr>
            <w:r>
              <w:rPr>
                <w:rFonts w:ascii="Arial" w:hAnsi="Arial" w:eastAsia="Arial" w:cs="Arial"/>
                <w:sz w:val="19"/>
              </w:rPr>
              <w:t>0.797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>
              <w:rPr>
                <w:rFonts w:ascii="Arial" w:hAnsi="Arial" w:eastAsia="Arial" w:cs="Arial"/>
                <w:sz w:val="19"/>
              </w:rPr>
              <w:t>105,699</w:t>
            </w:r>
          </w:p>
        </w:tc>
        <w:tc>
          <w:tcPr>
            <w:tcW w:type="dxa" w:w="864"/>
            <w:vAlign w:val="center"/>
          </w:tcPr>
          <w:p>
            <w:pPr>
              <w:spacing w:after="0"/>
            </w:pPr>
            <w:r>
              <w:rPr>
                <w:rFonts w:ascii="Arial" w:hAnsi="Arial" w:eastAsia="Arial" w:cs="Arial"/>
                <w:sz w:val="19"/>
              </w:rPr>
              <w:t>1,152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after="0"/>
            </w:pPr>
            <w:r>
              <w:rPr>
                <w:rFonts w:ascii="Arial" w:hAnsi="Arial" w:eastAsia="Arial" w:cs="Arial"/>
                <w:sz w:val="19"/>
              </w:rPr>
              <w:t>Amazon Music</w:t>
            </w:r>
          </w:p>
        </w:tc>
        <w:tc>
          <w:tcPr>
            <w:tcW w:type="dxa" w:w="792"/>
            <w:vAlign w:val="center"/>
          </w:tcPr>
          <w:p>
            <w:pPr>
              <w:spacing w:after="0"/>
            </w:pPr>
            <w:r>
              <w:rPr>
                <w:rFonts w:ascii="Arial" w:hAnsi="Arial" w:eastAsia="Arial" w:cs="Arial"/>
                <w:sz w:val="19"/>
              </w:rPr>
              <w:t>5,729</w:t>
            </w:r>
          </w:p>
        </w:tc>
        <w:tc>
          <w:tcPr>
            <w:tcW w:type="dxa" w:w="864"/>
            <w:vAlign w:val="center"/>
          </w:tcPr>
          <w:p>
            <w:pPr>
              <w:spacing w:after="0"/>
            </w:pPr>
            <w:r>
              <w:rPr>
                <w:rFonts w:ascii="Arial" w:hAnsi="Arial" w:eastAsia="Arial" w:cs="Arial"/>
                <w:sz w:val="19"/>
              </w:rPr>
              <w:t>9,267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>
              <w:rPr>
                <w:rFonts w:ascii="Arial" w:hAnsi="Arial" w:eastAsia="Arial" w:cs="Arial"/>
                <w:sz w:val="19"/>
              </w:rPr>
              <w:t>65,344</w:t>
            </w:r>
          </w:p>
        </w:tc>
        <w:tc>
          <w:tcPr>
            <w:tcW w:type="dxa" w:w="936"/>
            <w:vAlign w:val="center"/>
          </w:tcPr>
          <w:p>
            <w:pPr>
              <w:spacing w:after="0"/>
            </w:pPr>
            <w:r>
              <w:rPr>
                <w:rFonts w:ascii="Arial" w:hAnsi="Arial" w:eastAsia="Arial" w:cs="Arial"/>
                <w:sz w:val="19"/>
              </w:rPr>
              <w:t>0.123%</w:t>
            </w:r>
          </w:p>
        </w:tc>
        <w:tc>
          <w:tcPr>
            <w:tcW w:type="dxa" w:w="792"/>
            <w:vAlign w:val="center"/>
          </w:tcPr>
          <w:p>
            <w:pPr>
              <w:spacing w:after="0"/>
            </w:pPr>
            <w:r>
              <w:rPr>
                <w:rFonts w:ascii="Arial" w:hAnsi="Arial" w:eastAsia="Arial" w:cs="Arial"/>
                <w:sz w:val="19"/>
              </w:rPr>
              <w:t>0.800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>
              <w:rPr>
                <w:rFonts w:ascii="Arial" w:hAnsi="Arial" w:eastAsia="Arial" w:cs="Arial"/>
                <w:sz w:val="19"/>
              </w:rPr>
              <w:t>4,065</w:t>
            </w:r>
          </w:p>
        </w:tc>
        <w:tc>
          <w:tcPr>
            <w:tcW w:type="dxa" w:w="864"/>
            <w:vAlign w:val="center"/>
          </w:tcPr>
          <w:p>
            <w:pPr>
              <w:spacing w:after="0"/>
            </w:pPr>
            <w:r>
              <w:rPr>
                <w:rFonts w:ascii="Arial" w:hAnsi="Arial" w:eastAsia="Arial" w:cs="Arial"/>
                <w:sz w:val="19"/>
              </w:rPr>
              <w:t>1,294</w:t>
            </w:r>
          </w:p>
        </w:tc>
      </w:tr>
    </w:tbl>
    <w:p>
      <w:pPr>
        <w:spacing w:after="60" w:line="240" w:lineRule="auto"/>
      </w:pPr>
      <w:r>
        <w:rPr>
          <w:rFonts w:ascii="Arial" w:hAnsi="Arial" w:eastAsia="Arial" w:cs="Arial"/>
        </w:rPr>
        <w:t>Before seeing model results, the filter rule was fixed: use DaisyRec's one-pass 10filter unless fewer than 500 warm-start test users remain. Both datasets exceed the threshold, so 10filter is retained. Amazon 5filter was rejected because 20,356 items imply a 3.09 GiB float64 item matrix before EASE's additional inverse/storage costs. The 2014 Amazon file contains 836,006 headerless rows before filtering; its SHA-256 is documented in README.</w:t>
      </w:r>
    </w:p>
    <w:p>
      <w:pPr>
        <w:spacing w:after="60"/>
      </w:pPr>
      <w:r>
        <w:rPr>
          <w:rFonts w:ascii="Arial" w:hAnsi="Arial" w:eastAsia="Arial" w:cs="Arial"/>
        </w:rPr>
        <w:t xml:space="preserve">Repository: </w:t>
      </w:r>
      <w:hyperlink r:id="rId9">
        <w:r>
          <w:rPr>
            <w:rFonts w:ascii="Arial" w:hAnsi="Arial" w:eastAsia="Arial" w:cs="Arial"/>
            <w:color w:val="0563C1"/>
            <w:u w:val="single"/>
          </w:rPr>
          <w:t>github.com/Krystyna229/CA6124-Individual-Project</w:t>
        </w:r>
      </w:hyperlink>
    </w:p>
    <w:p>
      <w:r>
        <w:rPr>
          <w:rFonts w:ascii="Arial" w:hAnsi="Arial" w:eastAsia="Arial" w:cs="Arial"/>
        </w:rPr>
        <w:br w:type="page"/>
      </w:r>
    </w:p>
    <w:p>
      <w:pPr>
        <w:pStyle w:val="Heading1"/>
      </w:pPr>
      <w:r>
        <w:rPr>
          <w:rFonts w:ascii="Arial" w:hAnsi="Arial" w:eastAsia="Arial" w:cs="Arial"/>
        </w:rPr>
        <w:t>2 CDAE and non-destructive DaisyRec extension</w:t>
      </w:r>
    </w:p>
    <w:p>
      <w:pPr>
        <w:spacing w:after="60" w:line="240" w:lineRule="auto"/>
      </w:pPr>
      <w:r>
        <w:rPr>
          <w:rFonts w:ascii="Arial" w:hAnsi="Arial" w:eastAsia="Arial" w:cs="Arial"/>
        </w:rPr>
        <w:t>For user u with binary history xᵤ, CDAE applies training-only dropout to obtain x̃ᵤ and computes hᵤ = ReLU(W₁x̃ᵤ + vᵤ + b₁), where vᵤ is a learned user embedding. Decoder logits are zᵤ = W₂hᵤ + b₂. Training minimizes full-history summed binary cross-entropy plus optional L1/L2 penalties. Calling eval() disables corruption, so inference is deterministic. Relative to the original paper's sigmoid/tanh variants and discussion of negative sampling [1], ReLU and full-history BCE are deliberate framework-integration choices, not accidental substitutions.</w:t>
      </w:r>
    </w:p>
    <w:p>
      <w:pPr>
        <w:spacing w:after="60" w:line="240" w:lineRule="auto"/>
      </w:pPr>
      <w:r>
        <w:rPr>
          <w:rFonts w:ascii="Arial" w:hAnsi="Arial" w:eastAsia="Arial" w:cs="Arial"/>
        </w:rPr>
        <w:t>The implementation subclasses AERecommender and reuses DaisyRec history matrices, optimizer, device handling and training loop. Evaluation changes are opt-in configuration branches: split_boundary=day, warm_start=True, ranking_mode=full, optimization_k=10 and save_user_metrics=True. Defaults preserve DaisyRec's original interaction-boundary, unfiltered and sampled-candidate behaviour. Existing EASE and Multi-VAE model code is not replaced. Seven regression tests verify defaults and the added split, filtering, ranking, CDAE-inference, tuning and per-user-metric paths.</w:t>
      </w:r>
    </w:p>
    <w:p>
      <w:pPr>
        <w:pStyle w:val="Heading1"/>
      </w:pPr>
      <w:r>
        <w:rPr>
          <w:rFonts w:ascii="Arial" w:hAnsi="Arial" w:eastAsia="Arial" w:cs="Arial"/>
        </w:rPr>
        <w:t>3 Experimental protocol</w:t>
      </w:r>
    </w:p>
    <w:p>
      <w:pPr>
        <w:spacing w:after="60" w:line="240" w:lineRule="auto"/>
      </w:pPr>
      <w:r>
        <w:rPr>
          <w:rFonts w:ascii="Arial" w:hAnsi="Arial" w:eastAsia="Arial" w:cs="Arial"/>
        </w:rPr>
        <w:t>Ratings are converted to implicit interactions and duplicate user-item pairs are removed. A deterministic global timestamp boundary between complete calendar days is chosen nearest 80/20; ties are resolved deterministically. All events on one day stay on one side, important because Amazon timestamps have day precision. The actual train ratios are reported in Table 1 rather than claimed to be exactly 0.8.</w:t>
      </w:r>
    </w:p>
    <w:p>
      <w:pPr>
        <w:spacing w:after="60" w:line="240" w:lineRule="auto"/>
      </w:pPr>
      <w:r>
        <w:rPr>
          <w:rFonts w:ascii="Arial" w:hAnsi="Arial" w:eastAsia="Arial" w:cs="Arial"/>
        </w:rPr>
        <w:t>Final evaluation keeps only test interactions whose user and item both occur in the 80% training set. Tuning applies the same rule relative to each training/validation split, so its evaluable item set is intentionally based on the smaller tuning-training subset. Ranking considers every training-seen item and masks the user's training positives. The final cohort is 1,152 ML-1M users / 105,699 interactions and 1,294 Amazon users / 4,065 interactions.</w:t>
      </w:r>
    </w:p>
    <w:p>
      <w:pPr>
        <w:spacing w:after="60" w:line="240" w:lineRule="auto"/>
      </w:pPr>
      <w:r>
        <w:rPr>
          <w:rFonts w:ascii="Arial" w:hAnsi="Arial" w:eastAsia="Arial" w:cs="Arial"/>
        </w:rPr>
        <w:t>All tuning uses DaisyRec's supplied tune.py, whose existing backend is Optuna with a seeded TPE sampler (seed 2022). Each of the six groups receives 20 trials optimizing validation NDCG@10. The winner is retrained on the complete training partition and the untouched test set is evaluated once at K ∈ {1,5,10,20,30,50}. The uniform budget was fixed before final testing and all trial histories are retained.</w:t>
      </w:r>
    </w:p>
    <w:p>
      <w:pPr>
        <w:spacing w:after="60" w:line="240" w:lineRule="auto"/>
      </w:pPr>
      <w:r>
        <w:rPr>
          <w:rFonts w:ascii="Arial" w:hAnsi="Arial" w:eastAsia="Arial" w:cs="Arial"/>
        </w:rPr>
        <w:t>CDAE and Multi-VAE use Adam for a fixed 50 epochs with early stopping disabled, giving equal epoch budgets. CDAE minimizes summed binary cross-entropy plus tuned L1/L2 penalties. Multi-VAE minimizes multinomial reconstruction loss (softmax cross-entropy) plus KL divergence. Its annealing counter advances per mini-batch; total_anneal_steps=400 makes every searched cap (0.05-0.5) reachable within 50 epochs. EASE is solved in closed form and has no epoch or optimizer.</w:t>
      </w:r>
    </w:p>
    <w:p>
      <w:pPr>
        <w:pStyle w:val="Heading2"/>
      </w:pPr>
      <w:r>
        <w:rPr>
          <w:rFonts w:ascii="Arial" w:hAnsi="Arial" w:eastAsia="Arial" w:cs="Arial"/>
        </w:rPr>
        <w:t>3.1 Search spaces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4"/>
        <w:gridCol w:w="4874"/>
      </w:tblGrid>
      <w:tr>
        <w:tc>
          <w:tcPr>
            <w:tcW w:type="dxa" w:w="1512"/>
            <w:shd w:fill="D9EAF7"/>
          </w:tcPr>
          <w:p>
            <w:pPr>
              <w:spacing w:after="0"/>
            </w:pPr>
            <w:r>
              <w:rPr>
                <w:rFonts w:ascii="Arial" w:hAnsi="Arial" w:eastAsia="Arial" w:cs="Arial"/>
                <w:sz w:val="20"/>
              </w:rPr>
              <w:t>Model</w:t>
            </w:r>
          </w:p>
        </w:tc>
        <w:tc>
          <w:tcPr>
            <w:tcW w:type="dxa" w:w="8424"/>
            <w:shd w:fill="D9EAF7"/>
          </w:tcPr>
          <w:p>
            <w:pPr>
              <w:spacing w:after="0"/>
            </w:pPr>
            <w:r>
              <w:rPr>
                <w:rFonts w:ascii="Arial" w:hAnsi="Arial" w:eastAsia="Arial" w:cs="Arial"/>
                <w:sz w:val="20"/>
              </w:rPr>
              <w:t>Search space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after="0"/>
            </w:pPr>
            <w:r>
              <w:rPr>
                <w:rFonts w:ascii="Arial" w:hAnsi="Arial" w:eastAsia="Arial" w:cs="Arial"/>
                <w:sz w:val="20"/>
              </w:rPr>
              <w:t>CDAE</w:t>
            </w:r>
          </w:p>
        </w:tc>
        <w:tc>
          <w:tcPr>
            <w:tcW w:type="dxa" w:w="8424"/>
            <w:vAlign w:val="center"/>
          </w:tcPr>
          <w:p>
            <w:pPr>
              <w:spacing w:after="0"/>
            </w:pPr>
            <w:r>
              <w:rPr>
                <w:rFonts w:ascii="Arial" w:hAnsi="Arial" w:eastAsia="Arial" w:cs="Arial"/>
                <w:sz w:val="20"/>
              </w:rPr>
              <w:t>d {16,32,64,128,256}; drop {0,.1,.3,.5,.7}; batch {64,128,256,512}; lr {5e-5,1e-4,5e-4,.001,.005,.01}; L2 {0,1e-5,1e-4,.001,.01,.1,1}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after="0"/>
            </w:pPr>
            <w:r>
              <w:rPr>
                <w:rFonts w:ascii="Arial" w:hAnsi="Arial" w:eastAsia="Arial" w:cs="Arial"/>
                <w:sz w:val="20"/>
              </w:rPr>
              <w:t>EASE</w:t>
            </w:r>
          </w:p>
        </w:tc>
        <w:tc>
          <w:tcPr>
            <w:tcW w:type="dxa" w:w="8424"/>
            <w:vAlign w:val="center"/>
          </w:tcPr>
          <w:p>
            <w:pPr>
              <w:spacing w:after="0"/>
            </w:pPr>
            <w:r>
              <w:rPr>
                <w:rFonts w:ascii="Arial" w:hAnsi="Arial" w:eastAsia="Arial" w:cs="Arial"/>
                <w:sz w:val="20"/>
              </w:rPr>
              <w:t>regularization {1,5,10,50,100,200,500,1000,2000}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after="0"/>
            </w:pPr>
            <w:r>
              <w:rPr>
                <w:rFonts w:ascii="Arial" w:hAnsi="Arial" w:eastAsia="Arial" w:cs="Arial"/>
                <w:sz w:val="20"/>
              </w:rPr>
              <w:t>Multi-VAE</w:t>
            </w:r>
          </w:p>
        </w:tc>
        <w:tc>
          <w:tcPr>
            <w:tcW w:type="dxa" w:w="8424"/>
            <w:vAlign w:val="center"/>
          </w:tcPr>
          <w:p>
            <w:pPr>
              <w:spacing w:after="0"/>
            </w:pPr>
            <w:r>
              <w:rPr>
                <w:rFonts w:ascii="Arial" w:hAnsi="Arial" w:eastAsia="Arial" w:cs="Arial"/>
                <w:sz w:val="20"/>
              </w:rPr>
              <w:t>d {32,64,128,256,512}; drop {0,.2,.5,.7,.8}; batch {64,128,256,512}; lr {5e-5,1e-4,5e-4,.001,.005,.01}; anneal {.05,.1,.2,.5}</w:t>
            </w:r>
          </w:p>
        </w:tc>
      </w:tr>
    </w:tbl>
    <w:p>
      <w:r>
        <w:rPr>
          <w:rFonts w:ascii="Arial" w:hAnsi="Arial" w:eastAsia="Arial" w:cs="Arial"/>
        </w:rPr>
        <w:br w:type="page"/>
      </w:r>
    </w:p>
    <w:p>
      <w:pPr>
        <w:pStyle w:val="Heading1"/>
      </w:pPr>
      <w:r>
        <w:rPr>
          <w:rFonts w:ascii="Arial" w:hAnsi="Arial" w:eastAsia="Arial" w:cs="Arial"/>
        </w:rPr>
        <w:t>4 Hyperparameter tuning</w:t>
      </w:r>
    </w:p>
    <w:p>
      <w:r>
        <w:rPr>
          <w:rFonts w:ascii="Arial" w:hAnsi="Arial" w:eastAsia="Arial" w:cs="Arial"/>
        </w:rPr>
        <w:drawing>
          <wp:inline xmlns:a="http://schemas.openxmlformats.org/drawingml/2006/main" xmlns:pic="http://schemas.openxmlformats.org/drawingml/2006/picture">
            <wp:extent cx="5532120" cy="30592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uning_curv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32120" cy="30592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 w:eastAsia="Arial" w:cs="Arial"/>
          <w:i/>
          <w:sz w:val="20"/>
        </w:rPr>
        <w:t>Figure 1. Individual trial scores and best-so-far validation NDCG@10 (20 trials per group).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7"/>
        <w:gridCol w:w="2437"/>
        <w:gridCol w:w="2437"/>
        <w:gridCol w:w="2437"/>
      </w:tblGrid>
      <w:tr>
        <w:tc>
          <w:tcPr>
            <w:tcW w:type="dxa" w:w="1368"/>
            <w:shd w:fill="D9EAF7"/>
          </w:tcPr>
          <w:p>
            <w:pPr>
              <w:spacing w:after="0"/>
            </w:pPr>
            <w:r>
              <w:rPr>
                <w:rFonts w:ascii="Arial" w:hAnsi="Arial" w:eastAsia="Arial" w:cs="Arial"/>
                <w:sz w:val="19"/>
              </w:rPr>
              <w:t>Dataset</w:t>
            </w:r>
          </w:p>
        </w:tc>
        <w:tc>
          <w:tcPr>
            <w:tcW w:type="dxa" w:w="1152"/>
            <w:shd w:fill="D9EAF7"/>
          </w:tcPr>
          <w:p>
            <w:pPr>
              <w:spacing w:after="0"/>
            </w:pPr>
            <w:r>
              <w:rPr>
                <w:rFonts w:ascii="Arial" w:hAnsi="Arial" w:eastAsia="Arial" w:cs="Arial"/>
                <w:sz w:val="19"/>
              </w:rPr>
              <w:t>Model</w:t>
            </w:r>
          </w:p>
        </w:tc>
        <w:tc>
          <w:tcPr>
            <w:tcW w:type="dxa" w:w="6120"/>
            <w:shd w:fill="D9EAF7"/>
          </w:tcPr>
          <w:p>
            <w:pPr>
              <w:spacing w:after="0"/>
            </w:pPr>
            <w:r>
              <w:rPr>
                <w:rFonts w:ascii="Arial" w:hAnsi="Arial" w:eastAsia="Arial" w:cs="Arial"/>
                <w:sz w:val="19"/>
              </w:rPr>
              <w:t>Selected hyperparameters</w:t>
            </w:r>
          </w:p>
        </w:tc>
        <w:tc>
          <w:tcPr>
            <w:tcW w:type="dxa" w:w="1296"/>
            <w:shd w:fill="D9EAF7"/>
          </w:tcPr>
          <w:p>
            <w:pPr>
              <w:spacing w:after="0"/>
            </w:pPr>
            <w:r>
              <w:rPr>
                <w:rFonts w:ascii="Arial" w:hAnsi="Arial" w:eastAsia="Arial" w:cs="Arial"/>
                <w:sz w:val="19"/>
              </w:rPr>
              <w:t>Val NDCG@10</w:t>
            </w:r>
          </w:p>
        </w:tc>
      </w:tr>
      <w:tr>
        <w:tc>
          <w:tcPr>
            <w:tcW w:type="dxa" w:w="1368"/>
            <w:vAlign w:val="center"/>
          </w:tcPr>
          <w:p>
            <w:pPr>
              <w:spacing w:after="0"/>
            </w:pPr>
            <w:r>
              <w:rPr>
                <w:rFonts w:ascii="Arial" w:hAnsi="Arial" w:eastAsia="Arial" w:cs="Arial"/>
                <w:sz w:val="19"/>
              </w:rPr>
              <w:t>ml-1m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>
              <w:rPr>
                <w:rFonts w:ascii="Arial" w:hAnsi="Arial" w:eastAsia="Arial" w:cs="Arial"/>
                <w:sz w:val="19"/>
              </w:rPr>
              <w:t>EASE</w:t>
            </w:r>
          </w:p>
        </w:tc>
        <w:tc>
          <w:tcPr>
            <w:tcW w:type="dxa" w:w="6120"/>
            <w:vAlign w:val="center"/>
          </w:tcPr>
          <w:p>
            <w:pPr>
              <w:spacing w:after="0"/>
            </w:pPr>
            <w:r>
              <w:rPr>
                <w:rFonts w:ascii="Arial" w:hAnsi="Arial" w:eastAsia="Arial" w:cs="Arial"/>
                <w:sz w:val="19"/>
              </w:rPr>
              <w:t>reg=10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>
              <w:rPr>
                <w:rFonts w:ascii="Arial" w:hAnsi="Arial" w:eastAsia="Arial" w:cs="Arial"/>
                <w:sz w:val="19"/>
              </w:rPr>
              <w:t>0.3210</w:t>
            </w:r>
          </w:p>
        </w:tc>
      </w:tr>
      <w:tr>
        <w:tc>
          <w:tcPr>
            <w:tcW w:type="dxa" w:w="1368"/>
            <w:vAlign w:val="center"/>
          </w:tcPr>
          <w:p>
            <w:pPr>
              <w:spacing w:after="0"/>
            </w:pPr>
            <w:r>
              <w:rPr>
                <w:rFonts w:ascii="Arial" w:hAnsi="Arial" w:eastAsia="Arial" w:cs="Arial"/>
                <w:sz w:val="19"/>
              </w:rPr>
              <w:t>ml-1m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>
              <w:rPr>
                <w:rFonts w:ascii="Arial" w:hAnsi="Arial" w:eastAsia="Arial" w:cs="Arial"/>
                <w:sz w:val="19"/>
              </w:rPr>
              <w:t>Multi-VAE</w:t>
            </w:r>
          </w:p>
        </w:tc>
        <w:tc>
          <w:tcPr>
            <w:tcW w:type="dxa" w:w="6120"/>
            <w:vAlign w:val="center"/>
          </w:tcPr>
          <w:p>
            <w:pPr>
              <w:spacing w:after="0"/>
            </w:pPr>
            <w:r>
              <w:rPr>
                <w:rFonts w:ascii="Arial" w:hAnsi="Arial" w:eastAsia="Arial" w:cs="Arial"/>
                <w:sz w:val="19"/>
              </w:rPr>
              <w:t>d=256, drop=0.7, batch=512, lr=0.0001, anneal=0.1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>
              <w:rPr>
                <w:rFonts w:ascii="Arial" w:hAnsi="Arial" w:eastAsia="Arial" w:cs="Arial"/>
                <w:sz w:val="19"/>
              </w:rPr>
              <w:t>0.3492</w:t>
            </w:r>
          </w:p>
        </w:tc>
      </w:tr>
      <w:tr>
        <w:tc>
          <w:tcPr>
            <w:tcW w:type="dxa" w:w="1368"/>
            <w:vAlign w:val="center"/>
          </w:tcPr>
          <w:p>
            <w:pPr>
              <w:spacing w:after="0"/>
            </w:pPr>
            <w:r>
              <w:rPr>
                <w:rFonts w:ascii="Arial" w:hAnsi="Arial" w:eastAsia="Arial" w:cs="Arial"/>
                <w:sz w:val="19"/>
              </w:rPr>
              <w:t>ml-1m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>
              <w:rPr>
                <w:rFonts w:ascii="Arial" w:hAnsi="Arial" w:eastAsia="Arial" w:cs="Arial"/>
                <w:sz w:val="19"/>
              </w:rPr>
              <w:t>CDAE</w:t>
            </w:r>
          </w:p>
        </w:tc>
        <w:tc>
          <w:tcPr>
            <w:tcW w:type="dxa" w:w="6120"/>
            <w:vAlign w:val="center"/>
          </w:tcPr>
          <w:p>
            <w:pPr>
              <w:spacing w:after="0"/>
            </w:pPr>
            <w:r>
              <w:rPr>
                <w:rFonts w:ascii="Arial" w:hAnsi="Arial" w:eastAsia="Arial" w:cs="Arial"/>
                <w:sz w:val="19"/>
              </w:rPr>
              <w:t>d=64, drop=0.3, batch=256, lr=0.0001, L1=0, L2=0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>
              <w:rPr>
                <w:rFonts w:ascii="Arial" w:hAnsi="Arial" w:eastAsia="Arial" w:cs="Arial"/>
                <w:sz w:val="19"/>
              </w:rPr>
              <w:t>0.3638</w:t>
            </w:r>
          </w:p>
        </w:tc>
      </w:tr>
      <w:tr>
        <w:tc>
          <w:tcPr>
            <w:tcW w:type="dxa" w:w="1368"/>
            <w:vAlign w:val="center"/>
          </w:tcPr>
          <w:p>
            <w:pPr>
              <w:spacing w:after="0"/>
            </w:pPr>
            <w:r>
              <w:rPr>
                <w:rFonts w:ascii="Arial" w:hAnsi="Arial" w:eastAsia="Arial" w:cs="Arial"/>
                <w:sz w:val="19"/>
              </w:rPr>
              <w:t>amazon-music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>
              <w:rPr>
                <w:rFonts w:ascii="Arial" w:hAnsi="Arial" w:eastAsia="Arial" w:cs="Arial"/>
                <w:sz w:val="19"/>
              </w:rPr>
              <w:t>EASE</w:t>
            </w:r>
          </w:p>
        </w:tc>
        <w:tc>
          <w:tcPr>
            <w:tcW w:type="dxa" w:w="6120"/>
            <w:vAlign w:val="center"/>
          </w:tcPr>
          <w:p>
            <w:pPr>
              <w:spacing w:after="0"/>
            </w:pPr>
            <w:r>
              <w:rPr>
                <w:rFonts w:ascii="Arial" w:hAnsi="Arial" w:eastAsia="Arial" w:cs="Arial"/>
                <w:sz w:val="19"/>
              </w:rPr>
              <w:t>reg=50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>
              <w:rPr>
                <w:rFonts w:ascii="Arial" w:hAnsi="Arial" w:eastAsia="Arial" w:cs="Arial"/>
                <w:sz w:val="19"/>
              </w:rPr>
              <w:t>0.0358</w:t>
            </w:r>
          </w:p>
        </w:tc>
      </w:tr>
      <w:tr>
        <w:tc>
          <w:tcPr>
            <w:tcW w:type="dxa" w:w="1368"/>
            <w:vAlign w:val="center"/>
          </w:tcPr>
          <w:p>
            <w:pPr>
              <w:spacing w:after="0"/>
            </w:pPr>
            <w:r>
              <w:rPr>
                <w:rFonts w:ascii="Arial" w:hAnsi="Arial" w:eastAsia="Arial" w:cs="Arial"/>
                <w:sz w:val="19"/>
              </w:rPr>
              <w:t>amazon-music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>
              <w:rPr>
                <w:rFonts w:ascii="Arial" w:hAnsi="Arial" w:eastAsia="Arial" w:cs="Arial"/>
                <w:sz w:val="19"/>
              </w:rPr>
              <w:t>Multi-VAE</w:t>
            </w:r>
          </w:p>
        </w:tc>
        <w:tc>
          <w:tcPr>
            <w:tcW w:type="dxa" w:w="6120"/>
            <w:vAlign w:val="center"/>
          </w:tcPr>
          <w:p>
            <w:pPr>
              <w:spacing w:after="0"/>
            </w:pPr>
            <w:r>
              <w:rPr>
                <w:rFonts w:ascii="Arial" w:hAnsi="Arial" w:eastAsia="Arial" w:cs="Arial"/>
                <w:sz w:val="19"/>
              </w:rPr>
              <w:t>d=512, drop=0.2, batch=512, lr=0.001, anneal=0.5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>
              <w:rPr>
                <w:rFonts w:ascii="Arial" w:hAnsi="Arial" w:eastAsia="Arial" w:cs="Arial"/>
                <w:sz w:val="19"/>
              </w:rPr>
              <w:t>0.0449</w:t>
            </w:r>
          </w:p>
        </w:tc>
      </w:tr>
      <w:tr>
        <w:tc>
          <w:tcPr>
            <w:tcW w:type="dxa" w:w="1368"/>
            <w:vAlign w:val="center"/>
          </w:tcPr>
          <w:p>
            <w:pPr>
              <w:spacing w:after="0"/>
            </w:pPr>
            <w:r>
              <w:rPr>
                <w:rFonts w:ascii="Arial" w:hAnsi="Arial" w:eastAsia="Arial" w:cs="Arial"/>
                <w:sz w:val="19"/>
              </w:rPr>
              <w:t>amazon-music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>
              <w:rPr>
                <w:rFonts w:ascii="Arial" w:hAnsi="Arial" w:eastAsia="Arial" w:cs="Arial"/>
                <w:sz w:val="19"/>
              </w:rPr>
              <w:t>CDAE</w:t>
            </w:r>
          </w:p>
        </w:tc>
        <w:tc>
          <w:tcPr>
            <w:tcW w:type="dxa" w:w="6120"/>
            <w:vAlign w:val="center"/>
          </w:tcPr>
          <w:p>
            <w:pPr>
              <w:spacing w:after="0"/>
            </w:pPr>
            <w:r>
              <w:rPr>
                <w:rFonts w:ascii="Arial" w:hAnsi="Arial" w:eastAsia="Arial" w:cs="Arial"/>
                <w:sz w:val="19"/>
              </w:rPr>
              <w:t>d=256, drop=0.1, batch=256, lr=0.005, L1=0, L2=0.1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>
              <w:rPr>
                <w:rFonts w:ascii="Arial" w:hAnsi="Arial" w:eastAsia="Arial" w:cs="Arial"/>
                <w:sz w:val="19"/>
              </w:rPr>
              <w:t>0.0524</w:t>
            </w:r>
          </w:p>
        </w:tc>
      </w:tr>
    </w:tbl>
    <w:p>
      <w:pPr>
        <w:spacing w:after="60" w:line="240" w:lineRule="auto"/>
      </w:pPr>
      <w:r>
        <w:rPr>
          <w:rFonts w:ascii="Arial" w:hAnsi="Arial" w:eastAsia="Arial" w:cs="Arial"/>
        </w:rPr>
        <w:t>The ranges were broadened before final testing, but residual upper-bound optima remain on Amazon: Multi-VAE selects d=512 and anneal=0.5, while CDAE selects d=256. Zero regularization is a natural lower bound, but these upper-bound selections are only the best tested settings, not proven global optima; a wider targeted search remains a limitation. With the practical KL schedule and equal 50-epoch budget, ML-1M Multi-VAE instead selects interior d=256 and anneal=0.1.</w:t>
      </w:r>
    </w:p>
    <w:p>
      <w:pPr>
        <w:spacing w:after="60" w:line="240" w:lineRule="auto"/>
      </w:pPr>
      <w:r>
        <w:rPr>
          <w:rFonts w:ascii="Arial" w:hAnsi="Arial" w:eastAsia="Arial" w:cs="Arial"/>
        </w:rPr>
        <w:t>Tuning stability differs sharply. On Amazon, 8/20 Multi-VAE trials and 10/20 CDAE trials score below 0.01 NDCG@10 (4 and 8, respectively, below 0.005), whereas EASE stays within 0.0276-0.0358. No ML-1M trial falls below 0.01. Thus the neural models are much more hyperparameter-sensitive on this sparse cohort, while EASE's one-dimensional search is stable; the low scores are near-failure configurations, not software crashes.</w:t>
      </w:r>
    </w:p>
    <w:p>
      <w:pPr>
        <w:pStyle w:val="Heading1"/>
      </w:pPr>
      <w:r>
        <w:rPr>
          <w:rFonts w:ascii="Arial" w:hAnsi="Arial" w:eastAsia="Arial" w:cs="Arial"/>
        </w:rPr>
        <w:t>5 Final test results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7"/>
        <w:gridCol w:w="2437"/>
        <w:gridCol w:w="2437"/>
        <w:gridCol w:w="2437"/>
      </w:tblGrid>
      <w:tr>
        <w:tc>
          <w:tcPr>
            <w:tcW w:type="dxa" w:w="2016"/>
            <w:shd w:fill="D9EAF7"/>
          </w:tcPr>
          <w:p>
            <w:pPr>
              <w:spacing w:after="0"/>
            </w:pPr>
            <w:r>
              <w:rPr>
                <w:rFonts w:ascii="Arial" w:hAnsi="Arial" w:eastAsia="Arial" w:cs="Arial"/>
                <w:sz w:val="20"/>
              </w:rPr>
              <w:t>Dataset</w:t>
            </w:r>
          </w:p>
        </w:tc>
        <w:tc>
          <w:tcPr>
            <w:tcW w:type="dxa" w:w="1872"/>
            <w:shd w:fill="D9EAF7"/>
          </w:tcPr>
          <w:p>
            <w:pPr>
              <w:spacing w:after="0"/>
            </w:pPr>
            <w:r>
              <w:rPr>
                <w:rFonts w:ascii="Arial" w:hAnsi="Arial" w:eastAsia="Arial" w:cs="Arial"/>
                <w:sz w:val="20"/>
              </w:rPr>
              <w:t>Model</w:t>
            </w:r>
          </w:p>
        </w:tc>
        <w:tc>
          <w:tcPr>
            <w:tcW w:type="dxa" w:w="1584"/>
            <w:shd w:fill="D9EAF7"/>
          </w:tcPr>
          <w:p>
            <w:pPr>
              <w:spacing w:after="0"/>
            </w:pPr>
            <w:r>
              <w:rPr>
                <w:rFonts w:ascii="Arial" w:hAnsi="Arial" w:eastAsia="Arial" w:cs="Arial"/>
                <w:sz w:val="20"/>
              </w:rPr>
              <w:t>Recall@10</w:t>
            </w:r>
          </w:p>
        </w:tc>
        <w:tc>
          <w:tcPr>
            <w:tcW w:type="dxa" w:w="1584"/>
            <w:shd w:fill="D9EAF7"/>
          </w:tcPr>
          <w:p>
            <w:pPr>
              <w:spacing w:after="0"/>
            </w:pPr>
            <w:r>
              <w:rPr>
                <w:rFonts w:ascii="Arial" w:hAnsi="Arial" w:eastAsia="Arial" w:cs="Arial"/>
                <w:sz w:val="20"/>
              </w:rPr>
              <w:t>NDCG@10</w:t>
            </w:r>
          </w:p>
        </w:tc>
      </w:tr>
      <w:tr>
        <w:tc>
          <w:tcPr>
            <w:tcW w:type="dxa" w:w="2016"/>
            <w:vAlign w:val="center"/>
          </w:tcPr>
          <w:p>
            <w:pPr>
              <w:spacing w:after="0"/>
            </w:pPr>
            <w:r>
              <w:rPr>
                <w:rFonts w:ascii="Arial" w:hAnsi="Arial" w:eastAsia="Arial" w:cs="Arial"/>
                <w:sz w:val="20"/>
              </w:rPr>
              <w:t>ml-1m</w:t>
            </w:r>
          </w:p>
        </w:tc>
        <w:tc>
          <w:tcPr>
            <w:tcW w:type="dxa" w:w="1872"/>
            <w:vAlign w:val="center"/>
          </w:tcPr>
          <w:p>
            <w:pPr>
              <w:spacing w:after="0"/>
            </w:pPr>
            <w:r>
              <w:rPr>
                <w:rFonts w:ascii="Arial" w:hAnsi="Arial" w:eastAsia="Arial" w:cs="Arial"/>
                <w:sz w:val="20"/>
              </w:rPr>
              <w:t>EASE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>
              <w:rPr>
                <w:rFonts w:ascii="Arial" w:hAnsi="Arial" w:eastAsia="Arial" w:cs="Arial"/>
                <w:sz w:val="20"/>
              </w:rPr>
              <w:t>0.0400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>
              <w:rPr>
                <w:rFonts w:ascii="Arial" w:hAnsi="Arial" w:eastAsia="Arial" w:cs="Arial"/>
                <w:sz w:val="20"/>
              </w:rPr>
              <w:t>0.4625</w:t>
            </w:r>
          </w:p>
        </w:tc>
      </w:tr>
      <w:tr>
        <w:tc>
          <w:tcPr>
            <w:tcW w:type="dxa" w:w="2016"/>
            <w:vAlign w:val="center"/>
          </w:tcPr>
          <w:p>
            <w:pPr>
              <w:spacing w:after="0"/>
            </w:pPr>
            <w:r>
              <w:rPr>
                <w:rFonts w:ascii="Arial" w:hAnsi="Arial" w:eastAsia="Arial" w:cs="Arial"/>
                <w:sz w:val="20"/>
              </w:rPr>
              <w:t>ml-1m</w:t>
            </w:r>
          </w:p>
        </w:tc>
        <w:tc>
          <w:tcPr>
            <w:tcW w:type="dxa" w:w="1872"/>
            <w:vAlign w:val="center"/>
          </w:tcPr>
          <w:p>
            <w:pPr>
              <w:spacing w:after="0"/>
            </w:pPr>
            <w:r>
              <w:rPr>
                <w:rFonts w:ascii="Arial" w:hAnsi="Arial" w:eastAsia="Arial" w:cs="Arial"/>
                <w:sz w:val="20"/>
              </w:rPr>
              <w:t>Multi-VAE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>
              <w:rPr>
                <w:rFonts w:ascii="Arial" w:hAnsi="Arial" w:eastAsia="Arial" w:cs="Arial"/>
                <w:sz w:val="20"/>
              </w:rPr>
              <w:t>0.0459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>
              <w:rPr>
                <w:rFonts w:ascii="Arial" w:hAnsi="Arial" w:eastAsia="Arial" w:cs="Arial"/>
                <w:sz w:val="20"/>
              </w:rPr>
              <w:t>0.4980</w:t>
            </w:r>
          </w:p>
        </w:tc>
      </w:tr>
      <w:tr>
        <w:tc>
          <w:tcPr>
            <w:tcW w:type="dxa" w:w="2016"/>
            <w:vAlign w:val="center"/>
          </w:tcPr>
          <w:p>
            <w:pPr>
              <w:spacing w:after="0"/>
            </w:pPr>
            <w:r>
              <w:rPr>
                <w:rFonts w:ascii="Arial" w:hAnsi="Arial" w:eastAsia="Arial" w:cs="Arial"/>
                <w:sz w:val="20"/>
              </w:rPr>
              <w:t>ml-1m</w:t>
            </w:r>
          </w:p>
        </w:tc>
        <w:tc>
          <w:tcPr>
            <w:tcW w:type="dxa" w:w="1872"/>
            <w:vAlign w:val="center"/>
          </w:tcPr>
          <w:p>
            <w:pPr>
              <w:spacing w:after="0"/>
            </w:pPr>
            <w:r>
              <w:rPr>
                <w:rFonts w:ascii="Arial" w:hAnsi="Arial" w:eastAsia="Arial" w:cs="Arial"/>
                <w:sz w:val="20"/>
              </w:rPr>
              <w:t>CDAE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>
              <w:rPr>
                <w:rFonts w:ascii="Arial" w:hAnsi="Arial" w:eastAsia="Arial" w:cs="Arial"/>
                <w:sz w:val="20"/>
              </w:rPr>
              <w:t>0.0433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>
              <w:rPr>
                <w:rFonts w:ascii="Arial" w:hAnsi="Arial" w:eastAsia="Arial" w:cs="Arial"/>
                <w:sz w:val="20"/>
              </w:rPr>
              <w:t>0.4992</w:t>
            </w:r>
          </w:p>
        </w:tc>
      </w:tr>
      <w:tr>
        <w:tc>
          <w:tcPr>
            <w:tcW w:type="dxa" w:w="2016"/>
            <w:vAlign w:val="center"/>
          </w:tcPr>
          <w:p>
            <w:pPr>
              <w:spacing w:after="0"/>
            </w:pPr>
            <w:r>
              <w:rPr>
                <w:rFonts w:ascii="Arial" w:hAnsi="Arial" w:eastAsia="Arial" w:cs="Arial"/>
                <w:sz w:val="20"/>
              </w:rPr>
              <w:t>amazon-music</w:t>
            </w:r>
          </w:p>
        </w:tc>
        <w:tc>
          <w:tcPr>
            <w:tcW w:type="dxa" w:w="1872"/>
            <w:vAlign w:val="center"/>
          </w:tcPr>
          <w:p>
            <w:pPr>
              <w:spacing w:after="0"/>
            </w:pPr>
            <w:r>
              <w:rPr>
                <w:rFonts w:ascii="Arial" w:hAnsi="Arial" w:eastAsia="Arial" w:cs="Arial"/>
                <w:sz w:val="20"/>
              </w:rPr>
              <w:t>EASE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>
              <w:rPr>
                <w:rFonts w:ascii="Arial" w:hAnsi="Arial" w:eastAsia="Arial" w:cs="Arial"/>
                <w:sz w:val="20"/>
              </w:rPr>
              <w:t>0.0302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>
              <w:rPr>
                <w:rFonts w:ascii="Arial" w:hAnsi="Arial" w:eastAsia="Arial" w:cs="Arial"/>
                <w:sz w:val="20"/>
              </w:rPr>
              <w:t>0.0415</w:t>
            </w:r>
          </w:p>
        </w:tc>
      </w:tr>
      <w:tr>
        <w:tc>
          <w:tcPr>
            <w:tcW w:type="dxa" w:w="2016"/>
            <w:vAlign w:val="center"/>
          </w:tcPr>
          <w:p>
            <w:pPr>
              <w:spacing w:after="0"/>
            </w:pPr>
            <w:r>
              <w:rPr>
                <w:rFonts w:ascii="Arial" w:hAnsi="Arial" w:eastAsia="Arial" w:cs="Arial"/>
                <w:sz w:val="20"/>
              </w:rPr>
              <w:t>amazon-music</w:t>
            </w:r>
          </w:p>
        </w:tc>
        <w:tc>
          <w:tcPr>
            <w:tcW w:type="dxa" w:w="1872"/>
            <w:vAlign w:val="center"/>
          </w:tcPr>
          <w:p>
            <w:pPr>
              <w:spacing w:after="0"/>
            </w:pPr>
            <w:r>
              <w:rPr>
                <w:rFonts w:ascii="Arial" w:hAnsi="Arial" w:eastAsia="Arial" w:cs="Arial"/>
                <w:sz w:val="20"/>
              </w:rPr>
              <w:t>Multi-VAE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>
              <w:rPr>
                <w:rFonts w:ascii="Arial" w:hAnsi="Arial" w:eastAsia="Arial" w:cs="Arial"/>
                <w:sz w:val="20"/>
              </w:rPr>
              <w:t>0.0253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>
              <w:rPr>
                <w:rFonts w:ascii="Arial" w:hAnsi="Arial" w:eastAsia="Arial" w:cs="Arial"/>
                <w:sz w:val="20"/>
              </w:rPr>
              <w:t>0.0383</w:t>
            </w:r>
          </w:p>
        </w:tc>
      </w:tr>
      <w:tr>
        <w:tc>
          <w:tcPr>
            <w:tcW w:type="dxa" w:w="2016"/>
            <w:vAlign w:val="center"/>
          </w:tcPr>
          <w:p>
            <w:pPr>
              <w:spacing w:after="0"/>
            </w:pPr>
            <w:r>
              <w:rPr>
                <w:rFonts w:ascii="Arial" w:hAnsi="Arial" w:eastAsia="Arial" w:cs="Arial"/>
                <w:sz w:val="20"/>
              </w:rPr>
              <w:t>amazon-music</w:t>
            </w:r>
          </w:p>
        </w:tc>
        <w:tc>
          <w:tcPr>
            <w:tcW w:type="dxa" w:w="1872"/>
            <w:vAlign w:val="center"/>
          </w:tcPr>
          <w:p>
            <w:pPr>
              <w:spacing w:after="0"/>
            </w:pPr>
            <w:r>
              <w:rPr>
                <w:rFonts w:ascii="Arial" w:hAnsi="Arial" w:eastAsia="Arial" w:cs="Arial"/>
                <w:sz w:val="20"/>
              </w:rPr>
              <w:t>CDAE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>
              <w:rPr>
                <w:rFonts w:ascii="Arial" w:hAnsi="Arial" w:eastAsia="Arial" w:cs="Arial"/>
                <w:sz w:val="20"/>
              </w:rPr>
              <w:t>0.0286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>
              <w:rPr>
                <w:rFonts w:ascii="Arial" w:hAnsi="Arial" w:eastAsia="Arial" w:cs="Arial"/>
                <w:sz w:val="20"/>
              </w:rPr>
              <w:t>0.0400</w:t>
            </w:r>
          </w:p>
        </w:tc>
      </w:tr>
    </w:tbl>
    <w:p>
      <w:r>
        <w:rPr>
          <w:rFonts w:ascii="Arial" w:hAnsi="Arial" w:eastAsia="Arial" w:cs="Arial"/>
        </w:rPr>
        <w:drawing>
          <wp:inline xmlns:a="http://schemas.openxmlformats.org/drawingml/2006/main" xmlns:pic="http://schemas.openxmlformats.org/drawingml/2006/picture">
            <wp:extent cx="6080760" cy="28649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nking_curv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2864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 w:eastAsia="Arial" w:cs="Arial"/>
          <w:i/>
          <w:sz w:val="20"/>
        </w:rPr>
        <w:t>Figure 2. NDCG, Hit Ratio and Precision across ranking cut-offs under the same full-ranking protocol.</w:t>
      </w:r>
    </w:p>
    <w:p>
      <w:pPr>
        <w:pStyle w:val="Heading1"/>
      </w:pPr>
      <w:r>
        <w:rPr>
          <w:rFonts w:ascii="Arial" w:hAnsi="Arial" w:eastAsia="Arial" w:cs="Arial"/>
        </w:rPr>
        <w:t>6 Analysis and limitations</w:t>
      </w:r>
    </w:p>
    <w:p>
      <w:pPr>
        <w:spacing w:after="60" w:line="240" w:lineRule="auto"/>
      </w:pPr>
      <w:r>
        <w:rPr>
          <w:rFonts w:ascii="Arial" w:hAnsi="Arial" w:eastAsia="Arial" w:cs="Arial"/>
        </w:rPr>
        <w:t>On ML-1M, CDAE has the highest NDCG@10 (0.4992), narrowly ahead of Multi-VAE (0.4980), while Multi-VAE has the highest Recall@10 (0.0459 versus CDAE's 0.0433). The paired CDAE-Multi-VAE NDCG difference is only 0.00120; its 10,000-resample paired-bootstrap 95% CI [-0.0111, 0.0136] crosses zero. Both neural models reliably exceed EASE in NDCG, whose pairwise intervals exclude zero. Metric choice therefore changes the top model. Their ML-1M Hit Ratio curves are also close and rank Multi-VAE first at K=10, so HR is less discriminative than NDCG here.</w:t>
      </w:r>
    </w:p>
    <w:p>
      <w:pPr>
        <w:spacing w:after="60" w:line="240" w:lineRule="auto"/>
      </w:pPr>
      <w:r>
        <w:rPr>
          <w:rFonts w:ascii="Arial" w:hAnsi="Arial" w:eastAsia="Arial" w:cs="Arial"/>
        </w:rPr>
        <w:t>On Amazon, EASE leads NDCG@10 (0.0415), followed by CDAE (0.0400) and Multi-VAE (0.0383). CDAE is 3.65% below EASE and 4.45% above Multi-VAE using unrounded scores. However, all paired-bootstrap intervals cross zero: EASE-CDAE [-0.0072, 0.0100], EASE-Multi-VAE [-0.0050, 0.0117] and CDAE-Multi-VAE [-0.0074, 0.0109]. These data support no reliable pairwise winner on Amazon despite the descriptive ordering.</w:t>
      </w:r>
    </w:p>
    <w:p>
      <w:pPr>
        <w:spacing w:after="60" w:line="240" w:lineRule="auto"/>
      </w:pPr>
      <w:r>
        <w:rPr>
          <w:rFonts w:ascii="Arial" w:hAnsi="Arial" w:eastAsia="Arial" w:cs="Arial"/>
        </w:rPr>
        <w:t>After 10filter, Amazon averages 11.4 interactions per user, versus 165.3 on ML-1M. Very short histories may weaken Multi-VAE's inference of a KL-regularized latent distribution and make both neural models tuning-sensitive, while EASE directly exploits item co-occurrence. These are plausible mechanisms, not causal claims, because domain, scale, sparsity and temporal coverage all change together.</w:t>
      </w:r>
    </w:p>
    <w:p>
      <w:pPr>
        <w:spacing w:after="60" w:line="240" w:lineRule="auto"/>
      </w:pPr>
      <w:r>
        <w:rPr>
          <w:rFonts w:ascii="Arial" w:hAnsi="Arial" w:eastAsia="Arial" w:cs="Arial"/>
        </w:rPr>
        <w:t>Limitations are one temporal split, one seed, 20 trials, residual boundary optima and warm-start-only scope. Full ranking avoids sampled-candidate bias [7], but evaluation retains only 1,152/6,040 (19.1%) ML-1M users and 1,294/5,729 (22.6%) Amazon users after requiring train-seen users/items. The results therefore do not represent cold-start users. Future work should repeat seeds, expand targeted ranges and evaluate models designed for cold start.</w:t>
      </w:r>
    </w:p>
    <w:p>
      <w:pPr>
        <w:pStyle w:val="Heading2"/>
      </w:pPr>
      <w:r>
        <w:rPr>
          <w:rFonts w:ascii="Arial" w:hAnsi="Arial" w:eastAsia="Arial" w:cs="Arial"/>
        </w:rPr>
        <w:t>References</w:t>
      </w:r>
    </w:p>
    <w:p>
      <w:pPr>
        <w:spacing w:after="0"/>
        <w:ind w:left="216" w:hanging="216"/>
      </w:pPr>
      <w:r>
        <w:rPr>
          <w:rFonts w:ascii="Arial" w:hAnsi="Arial" w:eastAsia="Arial" w:cs="Arial"/>
          <w:sz w:val="20"/>
        </w:rPr>
        <w:t>[1] Y. Wu et al., ‘Collaborative Denoising Auto-Encoders for Top-N Recommender Systems,’ WSDM, 2016.</w:t>
      </w:r>
    </w:p>
    <w:p>
      <w:pPr>
        <w:spacing w:after="0"/>
        <w:ind w:left="216" w:hanging="216"/>
      </w:pPr>
      <w:r>
        <w:rPr>
          <w:rFonts w:ascii="Arial" w:hAnsi="Arial" w:eastAsia="Arial" w:cs="Arial"/>
          <w:sz w:val="20"/>
        </w:rPr>
        <w:t>[2] H. Steck, ‘Embarrassingly Shallow Autoencoders for Sparse Data,’ WWW, 2019.</w:t>
      </w:r>
    </w:p>
    <w:p>
      <w:pPr>
        <w:spacing w:after="0"/>
        <w:ind w:left="216" w:hanging="216"/>
      </w:pPr>
      <w:r>
        <w:rPr>
          <w:rFonts w:ascii="Arial" w:hAnsi="Arial" w:eastAsia="Arial" w:cs="Arial"/>
          <w:sz w:val="20"/>
        </w:rPr>
        <w:t>[3] D. Liang et al., ‘Variational Autoencoders for Collaborative Filtering,’ WWW, 2018.</w:t>
      </w:r>
    </w:p>
    <w:p>
      <w:pPr>
        <w:spacing w:after="0"/>
        <w:ind w:left="216" w:hanging="216"/>
      </w:pPr>
      <w:r>
        <w:rPr>
          <w:rFonts w:ascii="Arial" w:hAnsi="Arial" w:eastAsia="Arial" w:cs="Arial"/>
          <w:sz w:val="20"/>
        </w:rPr>
        <w:t>[4] Z. Sun et al., ‘DaisyRec 2.0: Benchmarking Recommendation for Rigorous Evaluation,’ TPAMI, 2023.</w:t>
      </w:r>
    </w:p>
    <w:p>
      <w:pPr>
        <w:spacing w:after="0"/>
        <w:ind w:left="216" w:hanging="216"/>
      </w:pPr>
      <w:r>
        <w:rPr>
          <w:rFonts w:ascii="Arial" w:hAnsi="Arial" w:eastAsia="Arial" w:cs="Arial"/>
          <w:sz w:val="20"/>
        </w:rPr>
        <w:t>[5] F. Harper and J. Konstan, ‘The MovieLens Datasets: History and Context,’ TiiS, 2015.</w:t>
      </w:r>
    </w:p>
    <w:p>
      <w:pPr>
        <w:spacing w:after="0"/>
        <w:ind w:left="216" w:hanging="216"/>
      </w:pPr>
      <w:r>
        <w:rPr>
          <w:rFonts w:ascii="Arial" w:hAnsi="Arial" w:eastAsia="Arial" w:cs="Arial"/>
          <w:sz w:val="20"/>
        </w:rPr>
        <w:t>[6] J. McAuley et al., ‘Image-based Recommendations on Styles and Substitutes,’ SIGIR, 2015.</w:t>
      </w:r>
    </w:p>
    <w:p>
      <w:pPr>
        <w:spacing w:after="0"/>
        <w:ind w:left="216" w:hanging="216"/>
      </w:pPr>
      <w:r>
        <w:rPr>
          <w:rFonts w:ascii="Arial" w:hAnsi="Arial" w:eastAsia="Arial" w:cs="Arial"/>
          <w:sz w:val="20"/>
        </w:rPr>
        <w:t>[7] W. Krichene and S. Rendle, ‘On Sampled Metrics for Item Recommendation,’ KDD, 2020.</w:t>
      </w:r>
    </w:p>
    <w:sectPr w:rsidR="00FC693F" w:rsidRPr="0006063C" w:rsidSect="00034616">
      <w:footerReference w:type="default" r:id="rId12"/>
      <w:headerReference w:type="default" r:id="rId13"/>
      <w:pgSz w:w="11909" w:h="16834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Arial"/>
      </w:rPr>
      <w:t>CA6124 Individual Assignment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40"/>
      <w:outlineLvl w:val="0"/>
    </w:pPr>
    <w:rPr>
      <w:rFonts w:asciiTheme="majorHAnsi" w:eastAsiaTheme="majorEastAsia" w:hAnsiTheme="majorHAnsi" w:cstheme="majorBidi" w:ascii="Arial" w:hAnsi="Arial" w:eastAsia="Arial" w:cs="Arial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80" w:after="40"/>
      <w:outlineLvl w:val="1"/>
    </w:pPr>
    <w:rPr>
      <w:rFonts w:asciiTheme="majorHAnsi" w:eastAsiaTheme="majorEastAsia" w:hAnsiTheme="majorHAnsi" w:cstheme="majorBidi" w:ascii="Arial" w:hAnsi="Arial" w:eastAsia="Arial" w:cs="Arial"/>
      <w:b/>
      <w:bCs/>
      <w:color w:val="00000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Krystyna229/CA6124-Individual-Project" TargetMode="Externa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footer" Target="footer1.xml"/><Relationship Id="rId13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