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VivaEuropa</w:t>
      </w:r>
    </w:p>
    <w:p>
      <w:pPr>
        <w:pStyle w:val="Title"/>
        <w:jc w:val="center"/>
      </w:pPr>
      <w:r>
        <w:t>Urheberrecht, Datenbank- und Inhaltsnutzung – VivaEuropa</w:t>
      </w:r>
    </w:p>
    <w:p>
      <w:pPr>
        <w:jc w:val="center"/>
      </w:pPr>
      <w:r>
        <w:rPr>
          <w:i/>
          <w:sz w:val="19"/>
        </w:rPr>
        <w:t>Arbeitsentwurf – Deutschland – Stand 14.09.2026</w:t>
      </w:r>
    </w:p>
    <w:p>
      <w:pPr>
        <w:jc w:val="center"/>
      </w:pPr>
      <w:r>
        <w:rPr>
          <w:b/>
          <w:sz w:val="18"/>
        </w:rPr>
        <w:t>ENTWURF – NICHT OHNE RECHTLICHE PRÜFUNG VERÖFFENTLICHEN</w:t>
      </w:r>
    </w:p>
    <w:p>
      <w:pPr>
        <w:pStyle w:val="Heading1"/>
      </w:pPr>
      <w:r>
        <w:t>1. Zweck</w:t>
      </w:r>
    </w:p>
    <w:p>
      <w:pPr>
        <w:spacing w:after="120"/>
      </w:pPr>
      <w:r>
        <w:t>Dieses Dokument erläutert in verständlicher Form, wie Inhalte, Daten und technische Bestandteile von VivaEuropa genutzt werden dürfen. Es ergänzt die Nutzungsbedingungen und ersetzt keine gesetzlichen Regelungen.</w:t>
      </w:r>
    </w:p>
    <w:p>
      <w:pPr>
        <w:pStyle w:val="Heading1"/>
      </w:pPr>
      <w:r>
        <w:t>2. VivaEuropa-Inhalte</w:t>
      </w:r>
    </w:p>
    <w:p>
      <w:pPr>
        <w:spacing w:after="120"/>
      </w:pPr>
      <w:r>
        <w:t>Soweit rechtlich geschützt, können insbesondere Software, Texte, Gestaltung, Grafiken, Logos, Auswahl und Anordnung von Daten sowie die Datenbankstruktur von VivaEuropa urheberrechtlich oder durch weitere Schutzrechte geschützt sein.</w:t>
      </w:r>
    </w:p>
    <w:p>
      <w:pPr>
        <w:pStyle w:val="Heading1"/>
      </w:pPr>
      <w:r>
        <w:t>3. Inhalte von Unternehmen und Nutzern</w:t>
      </w:r>
    </w:p>
    <w:p>
      <w:pPr>
        <w:spacing w:after="120"/>
      </w:pPr>
      <w:r>
        <w:t>Rechte an von Unternehmen oder Nutzern eingestellten Bildern, Logos, Texten und sonstigen Inhalten können bei den jeweiligen Rechteinhabern liegen. Aus der Anzeige in VivaEuropa folgt keine Erlaubnis, solche Inhalte außerhalb des Dienstes weiterzuverwenden.</w:t>
      </w:r>
    </w:p>
    <w:p>
      <w:pPr>
        <w:pStyle w:val="Heading1"/>
      </w:pPr>
      <w:r>
        <w:t>4. Erlaubte Nutzung</w:t>
      </w:r>
    </w:p>
    <w:p>
      <w:pPr>
        <w:spacing w:after="120"/>
      </w:pPr>
      <w:r>
        <w:t>Zulässig ist die normale persönliche Nutzung der öffentlich zugänglichen VivaEuropa-Funktionen. Einzelne Informationen dürfen im Rahmen gesetzlicher Schranken genutzt werden.</w:t>
      </w:r>
    </w:p>
    <w:p>
      <w:pPr>
        <w:pStyle w:val="Heading1"/>
      </w:pPr>
      <w:r>
        <w:t>5. Nicht erlaubte Nutzung</w:t>
      </w:r>
    </w:p>
    <w:p>
      <w:pPr>
        <w:spacing w:after="120"/>
      </w:pPr>
      <w:r>
        <w:t>Ohne ausdrückliche Erlaubnis sind insbesondere nicht gestattet:</w:t>
      </w:r>
    </w:p>
    <w:p>
      <w:pPr>
        <w:pStyle w:val="ListBullet"/>
      </w:pPr>
      <w:r>
        <w:t>systematisches oder automatisiertes Auslesen von VivaEuropa,</w:t>
      </w:r>
    </w:p>
    <w:p>
      <w:pPr>
        <w:pStyle w:val="ListBullet"/>
      </w:pPr>
      <w:r>
        <w:t>massenhafte Vervielfältigung von Unternehmensprofilen,</w:t>
      </w:r>
    </w:p>
    <w:p>
      <w:pPr>
        <w:pStyle w:val="ListBullet"/>
      </w:pPr>
      <w:r>
        <w:t>Aufbau oder Ergänzung konkurrierender Datenbanken aus VivaEuropa-Daten,</w:t>
      </w:r>
    </w:p>
    <w:p>
      <w:pPr>
        <w:pStyle w:val="ListBullet"/>
      </w:pPr>
      <w:r>
        <w:t>Verkauf oder Lizenzierung kopierter VivaEuropa-Daten,</w:t>
      </w:r>
    </w:p>
    <w:p>
      <w:pPr>
        <w:pStyle w:val="ListBullet"/>
      </w:pPr>
      <w:r>
        <w:t>Entfernung von Schutz-, Quellen- oder Rechtehinweisen,</w:t>
      </w:r>
    </w:p>
    <w:p>
      <w:pPr>
        <w:pStyle w:val="ListBullet"/>
      </w:pPr>
      <w:r>
        <w:t>unberechtigte Nutzung von Logos, Marken oder geschützten Bildern.</w:t>
      </w:r>
    </w:p>
    <w:p>
      <w:pPr>
        <w:pStyle w:val="Heading1"/>
      </w:pPr>
      <w:r>
        <w:t>6. Technische Schutzmaßnahmen</w:t>
      </w:r>
    </w:p>
    <w:p>
      <w:pPr>
        <w:spacing w:after="120"/>
      </w:pPr>
      <w:r>
        <w:t>Der Versuch, Zugriffsbeschränkungen, Rate-Limits, Authentifizierung, Sicherheitsmechanismen oder andere technische Schutzmaßnahmen zu umgehen, ist nicht gestattet.</w:t>
      </w:r>
    </w:p>
    <w:p>
      <w:pPr>
        <w:pStyle w:val="Heading1"/>
      </w:pPr>
      <w:r>
        <w:t>7. Meldung von Rechtsverletzungen</w:t>
      </w:r>
    </w:p>
    <w:p>
      <w:pPr>
        <w:spacing w:after="120"/>
      </w:pPr>
      <w:r>
        <w:t>Rechteinhaber sollen eine mögliche Rechtsverletzung unter der im Impressum angegebenen Kontaktadresse melden können. Ein geeignetes Melde- und Prüfverfahren wird vor Produktivstart eingerichtet.</w:t>
      </w:r>
    </w:p>
    <w:p>
      <w:pPr>
        <w:pStyle w:val="Heading1"/>
      </w:pPr>
      <w:r>
        <w:t>Prüfhinweis</w:t>
      </w:r>
    </w:p>
    <w:p>
      <w:pPr>
        <w:spacing w:after="120"/>
      </w:pPr>
      <w:r>
        <w:t>Dieser Entwurf muss vor Veröffentlichung anwaltlich auf die konkrete Datenbankstruktur, Datenquellen, Lizenzmodelle, Markenstrategie und geplante Nutzung externer Daten geprüft werden.</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VivaEuropa – Arbeitsentwurf 14.09.2026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