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Automatyczne określanie wieku śledzia atlantyckiego (Clupea harengus) na podstawie obrazów otolitów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Plan pracy: hybrydowy system wieloagentowy z wizualizacją etapów wnioskowania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Streszczenie i cel pracy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Celem projektu jest opracowanie hybrydowego systemu wieloagentowego do automatycznego określania wieku śledzia atlantyckiego (Clupea harengus) na podstawie obrazów sagittalnych otolitów, z naciskiem na (a) wysoką dokładność w warunkach ograniczonej liczby anotowanych danych (rzędu kilkuset obrazów), (b) interpretowalność wyników na poziomie pojedynczych przyrostów rocznych oraz (c) zdolność rozszerzania zbioru anotacji w pętli aktywnego uczenia.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System łączy trzy komplementarne strategie: (1) regresję end-to-end wieku ze zdjęcia otolitu z wykorzystaniem transferu uczenia (EfficientNet-B0), (2) detekcję i lokalizację pierścieni rocznych metodą słabo nadzorowaną (weakly-supervised counting) wykorzystującą wyłącznie etykietę wieku oraz (3) klasyczne agenty zero-shot oparte na profilu intensywności 1D i deformowalnych szablonach, służące jako odporna linia bazowa i źródło pseudo-anotacji do bootstrapu modeli głębokich.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Założeniem projektowym jest, aby każdy etap wnioskowania systemu był wizualizowany na realnych obrazach: od detekcji jądra otolitu, przez transformację biegunową, profil intensywności wzdłuż osi odczytu, mapy gęstości pierścieni, aż po mapy uwagi (Grad-CAM) regresora wieku. Wizualizacja stanowi nie tylko narzędzie debugowania, lecz integralny element walidacji biologicznej i komunikacji z ekspertami.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Kontekst naukowy i przegląd literatury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Otolity jako biologiczny zapis wieku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Otolity są acelularnymi strukturami z węglanu wapnia, formowanymi w uchu wewnętrznym ryb przez całe życie osobnika. Sezonowe wahania tempa wzrostu prowadzą do powstawania na przemian stref przezroczystych (translucent) i nieprzezroczystych (opaque), z których para odpowiada jednemu rokowi życia [Campana 2001, Panfili et al. 2002]. U śledzia atlantyckiego pierścienie zimowe są zwykle dobrze widoczne w świetle przechodzącym, co czyni ten gatunek dogodnym obiektem do automatyzacji odczytu, jednak nakładające się fałszywe pierścienie (false rings) i bardzo cienkie pierścienie marginalne u osobników starszych pozostają głównym źródłem błędu.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Manualny odczyt jest czasochłonny i obarczony zmiennością międzyobserwatorską (typowo 5–15% zgodności) oraz wewnątrzobserwatorską. Globalnie odczytuje się rocznie rzędu miliona otolitów, co stanowi silną motywację do automatyzacji.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Modele końcowe (end-to-end) — predykcja wieku z obrazu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Pionierska praca Moen et al. (2018) zastosowała architekturę InceptionV3 z transferem uczenia do regresji wieku halibuta grenlandzkiego (Reinhardtius hippoglossoides) na zbiorze ~8 875 otolitów, uzyskując zgodność z ekspertami porównywalną z różnicami między ekspertami [1]. Martinsen et al. (2022) rozszerzyli to podejście o architekturę Xception, potwierdzając, że fine-tuning sieci pretrenowanej na ImageNet daje istotnie lepsze wyniki niż trening od zera, szczególnie przy ograniczonych zbiorach [2]. Ordoñez et al. (2023) porównali architektury EfficientNetV1 i V2 dla dorsza atlantyckiego, raportując średnią dokładność 72,7% (do 78,6% w ensemble) i rekomendując EfficientNet-B4 jako optymalny kompromis między czasem treningu a jakością [3].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Politikos et al. (2021) wykazali, że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multitask learning</w:t>
      </w:r>
      <w:r>
        <w:rPr>
          <w:rFonts w:ascii="Arial" w:cs="Arial" w:eastAsia="Arial" w:hAnsi="Arial"/>
          <w:sz w:val="22"/>
          <w:szCs w:val="22"/>
        </w:rPr>
        <w:t xml:space="preserve"> (jednoczesna predykcja wieku, płci, długości i masy otolitu) działa jako naturalny regularyzator i poprawia generalizację — strategia szczególnie wartościowa w naszym scenariuszu małego zbioru [4]. Hsu et al. (2024) dla tuńczyka błękitnopłetwego pokazali wartość imputacji brakujących cech pomocniczych i augmentacji obrazu, osiągając ±1-acc = 72,8% przy CV = 7,38% [5].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Krytyczną obserwacją metodologiczną jest praca Ordoñez/Kampffmeyer et al. (2020), w której analiza Grad-CAM ujawniła, że sieci CNN trenowane wyłącznie na etykiecie wieku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nie aktywują pikseli odpowiadających pierścieniom rocznym</w:t>
      </w:r>
      <w:r>
        <w:rPr>
          <w:rFonts w:ascii="Arial" w:cs="Arial" w:eastAsia="Arial" w:hAnsi="Arial"/>
          <w:sz w:val="22"/>
          <w:szCs w:val="22"/>
        </w:rPr>
        <w:t xml:space="preserve"> — opierają predykcję na konturze i ogólnej morfologii otolitu [6]. To wzbudza wątpliwości co do biologicznej interpretowalności i motywuje hybrydowe podejście, łączące regresję z eksplicytną detekcją pierścieni.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Modele segmentacyjne — eksplicytna lokalizacja pierścieni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Vabø et al. (2024, ICES J. Mar. Sci.) zastosowali Mask R-CNN do detekcji głównych osi odczytu otolitu oraz U-Net do segmentacji semantycznej pierścieni rocznych dla dorsza Bałtyku i Morza Północnego. Postprocessing zlicza pierścienie z wynikowych masek, co przekłada się bezpośrednio na predykcję wieku [7]. Podejście wymaga jednak transformacji do współrzędnych biegunowych z poprzedzającą detekcją jądra otolitu — etapem, dla którego istnieją zarówno klasyczne metody (Cao i Fablet 2006 [8], heurystyka eliptyczna Harbitza 2009), jak i nowsze rozwiązania głębokie.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Klasyczne podejścia pre-DL — deformowalne szablony, B-Bubble, konstrukcja grafu w obrazie biegunowym, agenty reaktywne — pozostają wartościowe jako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agenty zero-shot</w:t>
      </w:r>
      <w:r>
        <w:rPr>
          <w:rFonts w:ascii="Arial" w:cs="Arial" w:eastAsia="Arial" w:hAnsi="Arial"/>
          <w:sz w:val="22"/>
          <w:szCs w:val="22"/>
        </w:rPr>
        <w:t xml:space="preserve"> nie wymagające treningu, oraz jako źródło inicjalnych pseudo-anotacji [9, 10]. W naszym systemie wieloagentowym pełnią rolę odpornej linii bazowej.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Słabo nadzorowane uczenie zliczania (weakly-supervised counting)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Kluczowe pytanie projektu — czy znając wiek ryby, ale nie mając anotacji pierścieni, można wytrenować model do ich detekcji — ma solidne podstawy w literaturze. Mills i Tamblyn (2021) pokazali, że ekstensywne sieci neuronowe potrafią lokalizować obiekty wykorzystując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wyłącznie etykiety liczbowe</w:t>
      </w:r>
      <w:r>
        <w:rPr>
          <w:rFonts w:ascii="Arial" w:cs="Arial" w:eastAsia="Arial" w:hAnsi="Arial"/>
          <w:sz w:val="22"/>
          <w:szCs w:val="22"/>
        </w:rPr>
        <w:t xml:space="preserve">, bez bounding boxów ani masek pikselowych [11]. Yang et al. (2019) zaproponowali Count-guided WSL z mapami gęstości jako warstwą ukrytą, regularyzowaną przez karę Giniego dla rzadkości aktywacji [12].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Gao et al. (2018, ECCV) w pracy C-WSL wykazali, że per-class object count jest tanim i skutecznym sygnałem nadzoru, rozwiązującym typowy problem WSL polegający na obejmowaniu wielu instancji jednym detektorem [13]. Pomocniczo, Bae et al. (2020, ECCV) przeanalizowali ograniczenia klasycznego CAM dla lokalizacji obiektów i zaproponowali ulepszenia poprzez modyfikację GAP, wag i progowania [14]. Te wyniki uzasadniają realizowalność trzeciego komponentu naszego systemu.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Architektura systemu wieloagentowego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System składa się z pięciu współpracujących agentów, organizowanych w pipeline z możliwością głosowania konsensusowego i raportowania niepewności: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Rola w systemie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A1: Lokalizator jądra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Klasyczny / heurystyka eliptyczna + opcjonalnie U-Net keypoint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Detekcja środka otolitu i głównej osi odczytu; warunek wstępny dla A2–A5.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A2: Profil 1D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Zero-shot: peak detection wzdłuż profilu intensywności w obrazie biegunowym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Linia bazowa, źródło pseudo-anotacji, najbardziej interpretowalny agent.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A3: Regresor wieku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EfficientNet-B0 z transfer learning, multitask (wiek + masa otolitu + długość)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Główny estymator wieku; trenowany na pełnym zbiorze etykiet wieku.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A4: Density-map counter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Słabo nadzorowany (count-only): EfficientNet-B0 → density head, suma ≈ wiek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Lokalizacja pierścieni bez anotacji pikselowych; mapy gęstości do wizualizacji.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A5: U-Net segmentator (opcjonalny, w pętli AL)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Few-shot: U-Net trenowany na pseudo-anotacjach z A2/A4, dotrenowywany na anotacjach eksperta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Najwyższa precyzja lokalizacji; rozwijany iteracyjnie przez active learning.</w:t>
            </w:r>
          </w:p>
        </w:tc>
      </w:tr>
    </w:tbl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Decyzja końcowa systemu: wagowane głosowanie A2/A3/A4 (i A5 gdy dostępny), z raportowaniem niepewności gdy estymaty agentów się rozjeżdżają o &gt; 1 rok. Rozjazd ten jest jednocześnie sygnałem dla pętli aktywnego uczenia (rozdz. 6).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Pipeline danych i preprocessing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Charakterystyka zbioru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Zakładana liczba obrazów: 200–500 sagittalnych otolitów śledzia z etykietą wieku (eksperckiego).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Zakres wieku: 0–10+ lat, z naturalnym niezbalansowaniem klas (przewaga osobników 2–4 lata).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Format: zdjęcia mikroskopowe w świetle przechodzącym, rozdzielczość 1500–3000 px po dłuższej krawędzi.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Cechy pomocnicze (gdy dostępne): masa otolitu, długość ryby, płeć, data połowu, lokalizacja.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Etapy preprocessingu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Standaryzacja oświetlenia (CLAHE w przestrzeni L kanału LAB), korekcja gamma.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Detekcja konturu otolitu (segmentacja klasyczna: Otsu + morfologia, fallback U-Net).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Lokalizacja jądra otolitu (Agent A1).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Transformacja biegunowa względem jądra wzdłuż głównej osi odczytu — pierścienie stają się w przybliżeniu liniami poziomymi, co radykalnie ułatwia detekcję dla A2 i A4.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Augmentacja: rotacje (±20°), losowe wycinki sektora kątowego, jitter jasności/kontrastu, elastic deformation w kierunku promieniowym (ostrożnie — nie psuje liczby pierścieni).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4.3. Podział danych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Stratyfikowany 5-fold cross-validation z podziałem względem klasy wieku. Dodatkowo wydzielony hold-out test set (~15%) reprezentujący pełny rozkład wieku, używany wyłącznie do końcowej ewaluacji. Krytyczne: brak wycieku osobnika między fałdami (jeśli dostępne są obrazy obu otolitów tej samej ryby).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Modele i strategie treningowe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 Agent A2 — profil 1D (zero-shot)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Algorytm: po transformacji biegunowej, uśredniany profil intensywności wzdłuż kierunku promieniowego (lub mediana po sektorze). Zastosowanie filtra Savitzky–Golay (okno 11–21 px), następnie peak detection z dwoma priorami: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Monotoniczny spadek odstępów między pierścieniami zgodny z modelem von Bertalanffy'ego.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Próg minimalnej prominencji peaku skalowany do globalnej amplitudy profilu.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Ten agent nie wymaga treningu, działa od razu i daje doskonałą bazę do walidacji oraz inicjalnych pseudo-anotacji.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 Agent A3 — regresor wieku end-to-end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Architektura: </w:t>
      </w:r>
      <w:r>
        <w:rPr>
          <w:rFonts w:ascii="Arial" w:cs="Arial" w:eastAsia="Arial" w:hAnsi="Arial"/>
          <w:sz w:val="22"/>
          <w:szCs w:val="22"/>
        </w:rPr>
        <w:t xml:space="preserve">EfficientNet-B0 pretrenowany na ImageNet, head: GAP → Dropout(0.3) → Dense(128, ReLU) → Dense(1, ReLU) (regresja wieku jako liczba dodatnia).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Wejście: </w:t>
      </w:r>
      <w:r>
        <w:rPr>
          <w:rFonts w:ascii="Arial" w:cs="Arial" w:eastAsia="Arial" w:hAnsi="Arial"/>
          <w:sz w:val="22"/>
          <w:szCs w:val="22"/>
        </w:rPr>
        <w:t xml:space="preserve">obraz w transformacji biegunowej, 384×384 px (pierwsze fine-tuningi 224×224 dla szybkości iteracji).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Loss: </w:t>
      </w:r>
      <w:r>
        <w:rPr>
          <w:rFonts w:ascii="Arial" w:cs="Arial" w:eastAsia="Arial" w:hAnsi="Arial"/>
          <w:sz w:val="22"/>
          <w:szCs w:val="22"/>
        </w:rPr>
        <w:t xml:space="preserve">MSE z opcjonalną składową Huber dla odporności na outliery; przy multitask dodatkowo MSE dla masy otolitu i długości ryby z wagami 0.3.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Strategia treningu: </w:t>
      </w:r>
      <w:r>
        <w:rPr>
          <w:rFonts w:ascii="Arial" w:cs="Arial" w:eastAsia="Arial" w:hAnsi="Arial"/>
          <w:sz w:val="22"/>
          <w:szCs w:val="22"/>
        </w:rPr>
        <w:t xml:space="preserve">dwa etapy — (1) zamrożony backbone, trening tylko head (10 epok, lr 1e-3), (2) odmrożenie ostatnich dwóch bloków, lr 1e-4 z cosine annealing (40 epok). Early stopping na val MAE.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Metryki: </w:t>
      </w:r>
      <w:r>
        <w:rPr>
          <w:rFonts w:ascii="Arial" w:cs="Arial" w:eastAsia="Arial" w:hAnsi="Arial"/>
          <w:sz w:val="22"/>
          <w:szCs w:val="22"/>
        </w:rPr>
        <w:t xml:space="preserve">MAE, RMSE, CV (coefficient of variation), agreement ±0, ±1, ±2 lata, bias względem wieku eksperckiego dla każdej klasy wiekowej.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 Agent A4 — słabo nadzorowany licznik pierścieni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Najbardziej innowacyjny komponent. Sieć trenowana wyłącznie na etykiecie wieku (count-only supervision), uczy się produkować mapę gęstości, której suma odpowiada liczbie pierścieni.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Architektura: </w:t>
      </w:r>
      <w:r>
        <w:rPr>
          <w:rFonts w:ascii="Arial" w:cs="Arial" w:eastAsia="Arial" w:hAnsi="Arial"/>
          <w:sz w:val="22"/>
          <w:szCs w:val="22"/>
        </w:rPr>
        <w:t xml:space="preserve">EfficientNet-B0 backbone (wagi współdzielone z A3 — opcjonalnie) → dekoder w stylu U-Net (3 bloki upsamplingu) → 1×1 conv → ReLU → density map (rozdzielczość 96×96).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Loss: </w:t>
      </w:r>
      <w:r>
        <w:rPr>
          <w:rFonts w:ascii="Arial" w:cs="Arial" w:eastAsia="Arial" w:hAnsi="Arial"/>
          <w:sz w:val="22"/>
          <w:szCs w:val="22"/>
        </w:rPr>
        <w:t xml:space="preserve">L = MSE(suma_density, wiek) + λ₁ · regularyzacja gładkości promieniowej (TV w kierunku radialnym po transformacji odwrotnej) + λ₂ · kara Giniego dla rzadkości (zachęca do ostrych peaków, nie rozmytego smaru) + λ₃ · kara monotoniczności odstępów (von Bertalanffy prior).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Inicjalizacja: </w:t>
      </w:r>
      <w:r>
        <w:rPr>
          <w:rFonts w:ascii="Arial" w:cs="Arial" w:eastAsia="Arial" w:hAnsi="Arial"/>
          <w:sz w:val="22"/>
          <w:szCs w:val="22"/>
        </w:rPr>
        <w:t xml:space="preserve">opcjonalny pre-trening na pseudo-anotacjach z A2 (mapy gęstości generowane jako Gaussiany w punktach detekcji 1D), potem dotrenowanie z count-only loss.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Wynik: </w:t>
      </w:r>
      <w:r>
        <w:rPr>
          <w:rFonts w:ascii="Arial" w:cs="Arial" w:eastAsia="Arial" w:hAnsi="Arial"/>
          <w:sz w:val="22"/>
          <w:szCs w:val="22"/>
        </w:rPr>
        <w:t xml:space="preserve">mapa pokazująca, gdzie sieć "widzi" pierścienie — bezpośrednio interpretowalna i porównywalna z odczytem eksperta. Stanowi też walidację, że predykcja wieku z A3 jest oparta na biologicznie sensownych cechach.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 Agent A5 — U-Net segmentator (rozwijany w pętli AL)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Klasyczny U-Net (encoder EfficientNet-B0) trenowany na binarnych maskach pierścieni. Inicjalnie trenowany na pseudo-anotacjach z A2 i A4 (po progowaniu i szkieletyzacji map gęstości). W kolejnych iteracjach dotrenowywany na anotacjach eksperta dostarczanych w pętli aktywnego uczenia. Loss: Dice + BCE z wagą skierowaną na klasę pierścienia.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Pętla aktywnego uczenia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Sercem strategii minimalizacji nakładu anotacyjnego eksperta jest pętla aktywnego uczenia, w której system inteligentnie wybiera próbki najbardziej wartościowe do anotacji.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 Kryteria selekcji próbek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Rozjazd między agentami: |wiek_A3 − count_A4| ≥ 1.5 lub |wiek_A2 − wiek_A3| ≥ 1.5.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Wysoka niepewność predykcji A3 (MC Dropout, T=20 forward passes, std ≥ próg).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Próbki spoza dotychczasowej dystrybucji (Mahalanobis na embeddings A3 lub Deep SVDD).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Niedoreprezentowane klasy wiekowe (osobniki 6+ lat).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 Format anotacji eksperta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Ekspert nie anotuje pikselowo całego pierścienia — wystarczy klik wzdłuż osi odczytu w punktach pierścieni rocznych (kilka–kilkanaście kliknięć na otolit, czas ~30 s). Te anotacje są transformowane w mapy gęstości (Gaussiany 2D) i maski liniowe dla A5.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 Cykl iteracyjny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Iteracja co 30–50 nowych anotacji: retrain A3, A4, A5 → ewaluacja na hold-out → raport delta MAE → kolejna selekcja. Przewidywane 4–6 iteracji do osiągnięcia plateau.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Wizualizacja działania systemu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Wizualizacja jest w tym projekcie traktowana jako pełnoprawny komponent systemu, nie jako opcjonalny dodatek. Każdy etap przetwarzania musi być możliwy do zaprezentowania na realnym obrazie otolitu, a wszystkie wizualizacje powinny być generowane automatycznie z każdego inferencji do pliku raportu w formacie HTML lub PDF. Cele wizualizacji: (a) walidacja biologiczna przez eksperta, (b) debugowanie modeli, (c) komunikacja wyników w publikacjach i prezentacjach, (d) budowanie zaufania do systemu wśród docelowych użytkowników (laboratoriów rybackich).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7.1. Wizualizacje preprocessingu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Surowy obraz otolitu z nałożonym konturem segmentacji (zielony obrys) i zaznaczonym jądrem (czerwony krzyżyk).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Główna oś odczytu narysowana jako strzałka od jądra do krawędzi (z wektorem kierunku i długością w mikrometrach).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obrazów: oryginał vs. transformacja biegunowa, z liniami siatki pokazującymi mapowanie kątów i promieni.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Histogram intensywności przed i po normalizacji CLAHE.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7.2. Wizualizacje agenta A2 (profil 1D)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Najbardziej intuicyjna i najczęściej oczekiwana wizualizacja przez ekspertów rybackich, ponieważ odpowiada bezpośrednio sposobowi, w jaki czytają otolit ręcznie.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Obraz biegunowy z poziomą strzałką wzdłuż osi odczytu i pionowymi liniami w miejscach detekcji pierścieni (kolorowane wg pewności peaku).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Wykres profilu intensywności pod obrazem, z zaznaczonymi peakami, threshold prominencji jako linia pozioma, oczekiwane pozycje wg modelu von Bertalanffy'ego jako szare punkty referencyjne.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Side-by-side: detekcja A2 vs. anotacja eksperta (gdy dostępna) — różnice oznaczone strzałkami z kolorowym kodowaniem (zielony — zgodny, żółty — przesunięcie ≤ 1 ring, czerwony — niezgodność).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7.3. Wizualizacje agenta A3 (Grad-CAM regresora wieku)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Kluczowa wizualizacja diagnostyczna — odpowiada na pytanie, czy regresor patrzy na biologicznie sensowne obszary, czy uczy się shortcutów (kontur, ogólny kształt). Zgodnie z obserwacjami Ordoñez/Kampffmeyer et al. [6] domyślnie należy spodziewać się, że regresor wieku NIE aktywuje pierścieni — i wizualizacja Grad-CAM jest podstawowym narzędziem do mierzenia, jak bardzo nasze interwencje (multitask, regularyzacja) zmieniają ten obraz.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Grad-CAM nakładany jako heatmapa (jet colormap, alpha 0.4) na oryginalny obraz otolitu, wraz z predykowanym wiekiem i wiekiem eksperckim w nagłówku.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Grad-CAM++ jako wariant z lepszą lokalizacją wielu obszarów aktywnych jednocześnie.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Score-CAM dla niezależnego sanity-checku (nie wymaga gradientów).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Macierz Grad-CAM dla wszystkich klas wieku — pokazuje, jak zmienia się obszar aktywacji wraz z wiekiem (oczekiwana hipoteza: aktywacja przesuwa się ku krawędzi otolitu wraz z wiekiem).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Ilościowa metryka biological alignment: udział aktywacji Grad-CAM pokrywający się z anotowanymi pierścieniami eksperta — raportowany na zbiorze testowym.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7.4. Wizualizacje agenta A4 (mapy gęstości)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Najbogatsza wizualizacyjnie część systemu — mapy gęstości są bezpośrednio interpretowalne i tworzą pomost między predykcją wieku a biologicznymi pierścieniami.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Mapa gęstości jako heatmapa nałożona na obraz otolitu w transformacji biegunowej, ze skalą kolorystyczną i sumą całkowitą wyświetloną w nagłówku ("∑ density = 4.7 → wiek estymowany 5 lat").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Wyciągnięte peaki z mapy gęstości jako kolorowe kropki w transformacji odwrotnej (na oryginalnym obrazie) — co umożliwia ekspertowi szybką weryfikację.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Animacja ewolucji mapy gęstości w trakcie treningu (snapshot co 5 epok) — pokazuje, jak sieć stopniowo uczy się lokalizować pierścienie używając wyłącznie etykiety wieku (kluczowy materiał demonstracyjny do publikacji).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Porównanie side-by-side: mapa gęstości A4 vs. detekcja A2 vs. anotacja eksperta — trzy panele pozwalające ocenić zgodność między metodami.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7.5. Wizualizacja decyzji konsensusowej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 słupkowy z predykcjami A2, A3, A4 (oraz A5 gdy dostępny), z zaznaczoną decyzją końcową i przedziałem niepewności (np. wiek = 5.0 [4.3, 5.7]).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Wskaźnik "agreement score" (np. 1 − std(predykcje)/mean) z kolorowym kodowaniem: zielony (&gt;0.85), żółty (0.7–0.85), czerwony (&lt;0.7) — przy czerwonym próbka automatycznie trafia do kolejki aktywnego uczenia.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7.6. Dashboard inferencyjny i raport per-otolit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Każda inferencja generuje pełny raport HTML zawierający wszystkie powyższe wizualizacje w jednym pliku, z metadanymi (ID próbki, data, model version, hash danych wejściowych). Raport jest zapisywalny jako PDF dla potrzeb archiwizacji laboratoryjnej. Layout raportu: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Nagłówek z metadanymi i finalną predykcją.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Sekcja preprocessing (kontur, jądro, oś odczytu, transformacja biegunowa).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Sekcja per-agent: A2 (profil + peaki), A3 (Grad-CAM × 3 metody), A4 (mapa gęstości + peaki).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Sekcja konsensus: porównanie predykcji, agreement score, flaga AL.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Sekcja walidacyjna (gdy dostępna): porównanie z odczytem eksperta, residual.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7.7. Wizualizacje zbiorcze (eval)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Macierz pomyłek wieku (predykowany vs. ekspercki) z anotacją liczby próbek w każdej komórce.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Wykres residuali względem wieku eksperckiego (klasyczny plot Bland–Altman) z trendem i przedziałami zgodności ±1.96σ.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Krzywe von Bertalanffy'ego dopasowane do predykcji vs. ground truth (ważne dla zastosowań stock assessment, gdzie rozkład wiekowy populacji jest kluczowy).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UMAP / t-SNE embeddings z A3 z kolorem = wiek — pokazuje, czy reprezentacja jest semantycznie uporządkowana.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Grad-CAM aggregate per klasa wieku (uśredniona heatmapa po wszystkich próbkach klasy) — pokazuje systemowe wzorce uwagi modelu.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7.8. Stack technologiczny dla wizualizacji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Matplotlib + seaborn dla statycznych wizualizacji 2D.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Plotly dla interaktywnych wykresów w raportach HTML.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OpenCV / scikit-image dla overlay heatmap na obrazach.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pytorch-grad-cam (biblioteka jacobgil) dla Grad-CAM, Grad-CAM++, Score-CAM.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Jinja2 dla generowania szablonów raportów HTML, weasyprint dla HTML→PDF.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Weights &amp; Biases (W&amp;B) dla trackingu eksperymentów i interaktywnych dashboardów treningowych.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Walidacja i protokół ewaluacji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8.1. Metryki ilościowe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MAE i RMSE wieku (główne).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CV (coefficient of variation) — standard w literaturze rybackiej, porównywalny z [1, 2].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Agreement ±0, ±1, ±2 lata (klasyczna metryka inter-reader).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APE (average percent error) wg Beamish &amp; Fournier.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Bias per klasa wiekowa — krytyczne dla stock assessment.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Dla A4/A5: precision/recall lokalizacji pierścieni (po zmatchowaniu z anotacjami eksperta z tolerancją ±5 px wzdłuż osi).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8.2. Walidacja biologiczna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Niezależnie od metryk, dwóch ekspertów rybackich zwalidowuje próbkę 50 raportów inferencyjnych, oceniając w skali Likerta: (a) zgodność lokalizacji pierścieni, (b) sensowność map Grad-CAM, (c) użyteczność raportu jako asysty w pracy. Ten etap warunkuje akceptację systemu w warunkach operacyjnych.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8.3. Test stress / out-of-distribution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Ewaluacja na otolitach z innego sezonu połowowego, innej lokalizacji geograficznej oraz na celowo zaszumionych obrazach (motion blur, podświetlenie, brak fragmentu). Cel: zmierzyć degradację i zidentyfikować failure modes do dalszej iteracji.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Harmonogram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Faza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Czas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Produkty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Tygodnie 1–3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preprocessingu, agent A1 (jądro), transformacja biegunowa, eksploracja danych, baseline A2.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Tygodnie 4–6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Trening A3 (regresor), pierwsza wersja Grad-CAM, raport per-otolit v1.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Tygodnie 7–10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Implementacja A4 (density-map weakly supervised), strojenie regularyzacji, animacje treningu.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Tygodnie 11–13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Pętla aktywnego uczenia, 2–3 iteracje z ekspertem, A5 (U-Net) trenowany na pseudo-anotacjach.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Tygodnie 14–16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Walidacja biologiczna, test OOD, dashboard końcowy, manuskrypt/raport końcowy.</w:t>
            </w:r>
          </w:p>
        </w:tc>
      </w:tr>
    </w:tbl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Ryzyka i strategie mitygacji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R1: Mała liczba anotacji → A4 nie konwerguje. Mitygacja: pre-trening A4 na pseudo-anotacjach z A2; jeśli nadal niesatysfakcjonujący, redukcja do binarnej klasyfikacji "młody/stary" jako proxy task.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R2: Niezbalansowane klasy wieku (mało osobników 7+ lat). Mitygacja: oversampling, focal MSE loss, ważone metryki, ostrożne raportowanie wyników per-klasa.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R3: Regresor A3 uczy się shortcutu (kontur). Mitygacja: random masking konturu w augmentacji, multitask z masą otolitu, monitoring biological alignment przez Grad-CAM.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R4: Niezgodność między ekspertami w pętli AL. Mitygacja: dwa niezależne odczyty na anotowanej próbce, pomiar inter-reader agreement, traktowanie tej zmienności jako floor accuracy systemu.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Bibliografia</w:t>
      </w:r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Moen, E., Handegard, N. O., Allken, V., Albert, O. T., Harbitz, A., Malde, K.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Automatic interpretation of otoliths using deep learning</w:t>
      </w:r>
      <w:r>
        <w:rPr>
          <w:rFonts w:ascii="Arial" w:cs="Arial" w:eastAsia="Arial" w:hAnsi="Arial"/>
          <w:sz w:val="22"/>
          <w:szCs w:val="22"/>
        </w:rPr>
        <w:t xml:space="preserve">. PLOS ONE 13(12): e0204713. </w:t>
      </w:r>
      <w:hyperlink w:history="1" r:id="rIdl_wyltdrffc0oorjnannf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https://journals.plos.org/plosone/article?id=10.1371/journal.pone.0204713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Martinsen, I., Harbitz, A., Bianchi, F. M.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Age prediction by deep learning applied to Greenland halibut (Reinhardtius hippoglossoides) otolith images</w:t>
      </w:r>
      <w:r>
        <w:rPr>
          <w:rFonts w:ascii="Arial" w:cs="Arial" w:eastAsia="Arial" w:hAnsi="Arial"/>
          <w:sz w:val="22"/>
          <w:szCs w:val="22"/>
        </w:rPr>
        <w:t xml:space="preserve">. PLOS ONE 17(11): e0277244. </w:t>
      </w:r>
      <w:hyperlink w:history="1" r:id="rIdcpzt1okalbe68njjsjvha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https://journals.plos.org/plosone/article?id=10.1371/journal.pone.0277244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Ordoñez, A., Eikvil, L., Salberg, A.-B., Harbitz, A., Murray, M., Albert, O. T.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Age interpretation of cod otoliths using deep learning</w:t>
      </w:r>
      <w:r>
        <w:rPr>
          <w:rFonts w:ascii="Arial" w:cs="Arial" w:eastAsia="Arial" w:hAnsi="Arial"/>
          <w:sz w:val="22"/>
          <w:szCs w:val="22"/>
        </w:rPr>
        <w:t xml:space="preserve">. Ecological Informatics 78: 102325. </w:t>
      </w:r>
      <w:hyperlink w:history="1" r:id="rIdkow1ydnknadzsu6m-dnha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https://www.sciencedirect.com/science/article/abs/pii/S1574954123003540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Politikos, D. V., Petasis, G., Chatzispyrou, A., Mytilineou, C., Anastasopoulou, A.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Automating fish age estimation combining otolith images and deep learning: The role of multitask learning</w:t>
      </w:r>
      <w:r>
        <w:rPr>
          <w:rFonts w:ascii="Arial" w:cs="Arial" w:eastAsia="Arial" w:hAnsi="Arial"/>
          <w:sz w:val="22"/>
          <w:szCs w:val="22"/>
        </w:rPr>
        <w:t xml:space="preserve">. Fisheries Research 242: 106033. </w:t>
      </w:r>
      <w:hyperlink w:history="1" r:id="rIdg1c51kkg_gbtqkq4yjyeb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https://www.sciencedirect.com/science/article/abs/pii/S0165783621001612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Hsu, J., Chang, Y.-J., Liao, C.-H., Wang, S.-P.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Enhancing machine learning-based age estimation for Pacific bluefin tuna: An approach with data imputation and image augmentation strategies</w:t>
      </w:r>
      <w:r>
        <w:rPr>
          <w:rFonts w:ascii="Arial" w:cs="Arial" w:eastAsia="Arial" w:hAnsi="Arial"/>
          <w:sz w:val="22"/>
          <w:szCs w:val="22"/>
        </w:rPr>
        <w:t xml:space="preserve">. Fisheries Research 274: 106986. </w:t>
      </w:r>
      <w:hyperlink w:history="1" r:id="rIdevxdrktyx5pusz7dxwqxs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https://www.sciencedirect.com/science/article/abs/pii/S0165783624000560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Ordoñez, A., Eikvil, L., Salberg, A.-B., Harbitz, A., Kampffmeyer, M. C.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Explaining decisions of deep neural networks used for fish age prediction</w:t>
      </w:r>
      <w:r>
        <w:rPr>
          <w:rFonts w:ascii="Arial" w:cs="Arial" w:eastAsia="Arial" w:hAnsi="Arial"/>
          <w:sz w:val="22"/>
          <w:szCs w:val="22"/>
        </w:rPr>
        <w:t xml:space="preserve">. PLOS ONE 15(6): e0235013. </w:t>
      </w:r>
      <w:hyperlink w:history="1" r:id="rIdrc01spw2_b60312laf-iu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https://journals.plos.org/plosone/article?id=10.1371/journal.pone.0235013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Vabø, R., Moen, E., Smoliński, S., Husebø, Å., Handegard, N. O., Malde, K.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Fish age reading using deep learning methods for object-detection and segmentation</w:t>
      </w:r>
      <w:r>
        <w:rPr>
          <w:rFonts w:ascii="Arial" w:cs="Arial" w:eastAsia="Arial" w:hAnsi="Arial"/>
          <w:sz w:val="22"/>
          <w:szCs w:val="22"/>
        </w:rPr>
        <w:t xml:space="preserve">. ICES Journal of Marine Science 81(4): 687–700. </w:t>
      </w:r>
      <w:hyperlink w:history="1" r:id="rIdpunm6eaywwhrzqfwzqng9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https://academic.oup.com/icesjms/article/81/4/687/7614790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Cao, F., Fablet, R. (2006).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Automatic morphological detection of otolith nucleus</w:t>
      </w:r>
      <w:r>
        <w:rPr>
          <w:rFonts w:ascii="Arial" w:cs="Arial" w:eastAsia="Arial" w:hAnsi="Arial"/>
          <w:sz w:val="22"/>
          <w:szCs w:val="22"/>
        </w:rPr>
        <w:t xml:space="preserve">. Pattern Recognition Letters 27(7): 658–666. </w:t>
      </w:r>
      <w:hyperlink w:history="1" r:id="rIdgtwmhay_hvhjbyubnzf-3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https://www.researchgate.net/publication/222709229_Automatic_morphological_detection_of_otolith_nucleus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Troadec, H., Benzinou, A., Rodin, V., Le Bihan, J. (2000).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of deformable templates for two-dimensional growth ring detection of otoliths by digital image processing</w:t>
      </w:r>
      <w:r>
        <w:rPr>
          <w:rFonts w:ascii="Arial" w:cs="Arial" w:eastAsia="Arial" w:hAnsi="Arial"/>
          <w:sz w:val="22"/>
          <w:szCs w:val="22"/>
        </w:rPr>
        <w:t xml:space="preserve">. Fisheries Research 46(1–3): 155–163. </w:t>
      </w:r>
      <w:hyperlink w:history="1" r:id="rId1i6y7tce0du9icyxfnysz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https://www.researchgate.net/publication/222524290_Automated_fish_age_estimation_from_otolith_images_using_statistical_learning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Guillaud, A., Benzinou, A., Troadec, H., Rodin, V., Le Bihan, J. (2002).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Autonomous agents for edge detection and continuity perception on otolith images</w:t>
      </w:r>
      <w:r>
        <w:rPr>
          <w:rFonts w:ascii="Arial" w:cs="Arial" w:eastAsia="Arial" w:hAnsi="Arial"/>
          <w:sz w:val="22"/>
          <w:szCs w:val="22"/>
        </w:rPr>
        <w:t xml:space="preserve">. Image and Vision Computing 20(13–14): 955–968. </w:t>
      </w:r>
      <w:hyperlink w:history="1" r:id="rIdn0umxcxlovzpw_-buacjw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https://www.sciencedirect.com/science/article/abs/pii/S0262885602000981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[11] </w:t>
      </w:r>
      <w:r>
        <w:rPr>
          <w:rFonts w:ascii="Arial" w:cs="Arial" w:eastAsia="Arial" w:hAnsi="Arial"/>
          <w:sz w:val="22"/>
          <w:szCs w:val="22"/>
        </w:rPr>
        <w:t xml:space="preserve">Mills, K., Tamblyn, I.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Weakly-supervised multi-class object localization using only object counts as labels</w:t>
      </w:r>
      <w:r>
        <w:rPr>
          <w:rFonts w:ascii="Arial" w:cs="Arial" w:eastAsia="Arial" w:hAnsi="Arial"/>
          <w:sz w:val="22"/>
          <w:szCs w:val="22"/>
        </w:rPr>
        <w:t xml:space="preserve">. arXiv:2102.11743. </w:t>
      </w:r>
      <w:hyperlink w:history="1" r:id="rIdz4q-tugu5sah6vzkcndeg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https://arxiv.org/abs/2102.11743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[12] </w:t>
      </w:r>
      <w:r>
        <w:rPr>
          <w:rFonts w:ascii="Arial" w:cs="Arial" w:eastAsia="Arial" w:hAnsi="Arial"/>
          <w:sz w:val="22"/>
          <w:szCs w:val="22"/>
        </w:rPr>
        <w:t xml:space="preserve">Yang, Y., Krompass, D., Tresp, V. (2019).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Count-guided Weakly Supervised Localization Based on Density Map</w:t>
      </w:r>
      <w:r>
        <w:rPr>
          <w:rFonts w:ascii="Arial" w:cs="Arial" w:eastAsia="Arial" w:hAnsi="Arial"/>
          <w:sz w:val="22"/>
          <w:szCs w:val="22"/>
        </w:rPr>
        <w:t xml:space="preserve">. OpenReview (ICLR submission). </w:t>
      </w:r>
      <w:hyperlink w:history="1" r:id="rId8noppk92cekstee67thfi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https://openreview.net/forum?id=rJgFDnEYPr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[13] </w:t>
      </w:r>
      <w:r>
        <w:rPr>
          <w:rFonts w:ascii="Arial" w:cs="Arial" w:eastAsia="Arial" w:hAnsi="Arial"/>
          <w:sz w:val="22"/>
          <w:szCs w:val="22"/>
        </w:rPr>
        <w:t xml:space="preserve">Gao, M., Li, A., Yu, R., Morariu, V. I., Davis, L. S.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C-WSL: Count-guided Weakly Supervised Localization</w:t>
      </w:r>
      <w:r>
        <w:rPr>
          <w:rFonts w:ascii="Arial" w:cs="Arial" w:eastAsia="Arial" w:hAnsi="Arial"/>
          <w:sz w:val="22"/>
          <w:szCs w:val="22"/>
        </w:rPr>
        <w:t xml:space="preserve">. ECCV 2018. </w:t>
      </w:r>
      <w:hyperlink w:history="1" r:id="rIdvy3pkapliq4-ab41w4sil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https://openaccess.thecvf.com/content_ECCV_2018/papers/Mingfei_Gao_C-WSL_Count-guided_Weakly_ECCV_2018_paper.pdf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[14] </w:t>
      </w:r>
      <w:r>
        <w:rPr>
          <w:rFonts w:ascii="Arial" w:cs="Arial" w:eastAsia="Arial" w:hAnsi="Arial"/>
          <w:sz w:val="22"/>
          <w:szCs w:val="22"/>
        </w:rPr>
        <w:t xml:space="preserve">Bae, W., Noh, J., Kim, G.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Rethinking Class Activation Mapping for Weakly Supervised Object Localization</w:t>
      </w:r>
      <w:r>
        <w:rPr>
          <w:rFonts w:ascii="Arial" w:cs="Arial" w:eastAsia="Arial" w:hAnsi="Arial"/>
          <w:sz w:val="22"/>
          <w:szCs w:val="22"/>
        </w:rPr>
        <w:t xml:space="preserve">. ECCV 2020. </w:t>
      </w:r>
      <w:hyperlink w:history="1" r:id="rIdszzvw9pkmm4m2xyw2j6yz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https://link.springer.com/chapter/10.1007/978-3-030-58555-6_37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[15] </w:t>
      </w:r>
      <w:r>
        <w:rPr>
          <w:rFonts w:ascii="Arial" w:cs="Arial" w:eastAsia="Arial" w:hAnsi="Arial"/>
          <w:sz w:val="22"/>
          <w:szCs w:val="22"/>
        </w:rPr>
        <w:t xml:space="preserve">Politikos, D. V., Sykiniotis, N., Petasis, G., Dedousis, P., Ordoñez, A., Vabø, R., Anastasopoulou, A., Moen, E., Mytilineou, C., Salberg, A.-B., Chatzispyrou, A., Malde, K.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DeepOtolith v1.0: An Open-Source AI Platform for Automating Fish Age Reading from Otolith or Scale Images</w:t>
      </w:r>
      <w:r>
        <w:rPr>
          <w:rFonts w:ascii="Arial" w:cs="Arial" w:eastAsia="Arial" w:hAnsi="Arial"/>
          <w:sz w:val="22"/>
          <w:szCs w:val="22"/>
        </w:rPr>
        <w:t xml:space="preserve">. Fishes 7(3): 121. </w:t>
      </w:r>
      <w:hyperlink w:history="1" r:id="rId6mlftpp5uamqlrdsfs4f6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https://www.mdpi.com/2410-3888/7/3/121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[16] </w:t>
      </w:r>
      <w:r>
        <w:rPr>
          <w:rFonts w:ascii="Arial" w:cs="Arial" w:eastAsia="Arial" w:hAnsi="Arial"/>
          <w:sz w:val="22"/>
          <w:szCs w:val="22"/>
        </w:rPr>
        <w:t xml:space="preserve">Selvaraju, R. R., Cogswell, M., Das, A., Vedantam, R., Parikh, D., Batra, D. (2017).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Grad-CAM: Visual Explanations from Deep Networks via Gradient-based Localization</w:t>
      </w:r>
      <w:r>
        <w:rPr>
          <w:rFonts w:ascii="Arial" w:cs="Arial" w:eastAsia="Arial" w:hAnsi="Arial"/>
          <w:sz w:val="22"/>
          <w:szCs w:val="22"/>
        </w:rPr>
        <w:t xml:space="preserve">. ICCV 2017. </w:t>
      </w:r>
      <w:hyperlink w:history="1" r:id="rId8dn8gfh9zjcmpj1ciaesd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https://openaccess.thecvf.com/content_iccv_2017/html/Selvaraju_Grad-CAM_Visual_Explanations_ICCV_2017_paper.html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[17] </w:t>
      </w:r>
      <w:r>
        <w:rPr>
          <w:rFonts w:ascii="Arial" w:cs="Arial" w:eastAsia="Arial" w:hAnsi="Arial"/>
          <w:sz w:val="22"/>
          <w:szCs w:val="22"/>
        </w:rPr>
        <w:t xml:space="preserve">Tan, M., Le, Q. V. (2019).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EfficientNet: Rethinking Model Scaling for Convolutional Neural Networks</w:t>
      </w:r>
      <w:r>
        <w:rPr>
          <w:rFonts w:ascii="Arial" w:cs="Arial" w:eastAsia="Arial" w:hAnsi="Arial"/>
          <w:sz w:val="22"/>
          <w:szCs w:val="22"/>
        </w:rPr>
        <w:t xml:space="preserve">. ICML 2019. </w:t>
      </w:r>
      <w:hyperlink w:history="1" r:id="rIdfhstsaaekpeui3hrdycud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https://arxiv.org/abs/1905.11946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[18] </w:t>
      </w:r>
      <w:r>
        <w:rPr>
          <w:rFonts w:ascii="Arial" w:cs="Arial" w:eastAsia="Arial" w:hAnsi="Arial"/>
          <w:sz w:val="22"/>
          <w:szCs w:val="22"/>
        </w:rPr>
        <w:t xml:space="preserve">Ronneberger, O., Fischer, P., Brox, T.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U-Net: Convolutional Networks for Biomedical Image Segmentation</w:t>
      </w:r>
      <w:r>
        <w:rPr>
          <w:rFonts w:ascii="Arial" w:cs="Arial" w:eastAsia="Arial" w:hAnsi="Arial"/>
          <w:sz w:val="22"/>
          <w:szCs w:val="22"/>
        </w:rPr>
        <w:t xml:space="preserve">. MICCAI 2015. </w:t>
      </w:r>
      <w:hyperlink w:history="1" r:id="rId9go_vkzze-rkm9ubsfp0e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https://arxiv.org/abs/1505.04597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[19] </w:t>
      </w:r>
      <w:r>
        <w:rPr>
          <w:rFonts w:ascii="Arial" w:cs="Arial" w:eastAsia="Arial" w:hAnsi="Arial"/>
          <w:sz w:val="22"/>
          <w:szCs w:val="22"/>
        </w:rPr>
        <w:t xml:space="preserve">Campana, S. E. (2001).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Accuracy, precision and quality control in age determination, including a review of the use and abuse of age validation methods</w:t>
      </w:r>
      <w:r>
        <w:rPr>
          <w:rFonts w:ascii="Arial" w:cs="Arial" w:eastAsia="Arial" w:hAnsi="Arial"/>
          <w:sz w:val="22"/>
          <w:szCs w:val="22"/>
        </w:rPr>
        <w:t xml:space="preserve">. Journal of Fish Biology 59(2): 197–242. </w:t>
      </w:r>
      <w:hyperlink w:history="1" r:id="rId6cw9pqth7l0ks_vrti9ha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https://onlinelibrary.wiley.com/doi/10.1111/j.1095-8649.2001.tb00127.x</w:t>
        </w:r>
      </w:hyperlink>
    </w:p>
    <w:p>
      <w:pPr>
        <w:spacing w:after="120" w:line="280"/>
        <w:ind w:left="480" w:hanging="480"/>
        <w:jc w:val="both"/>
      </w:pPr>
      <w:r>
        <w:rPr>
          <w:rFonts w:ascii="Arial" w:cs="Arial" w:eastAsia="Arial" w:hAnsi="Arial"/>
          <w:sz w:val="22"/>
          <w:szCs w:val="22"/>
        </w:rPr>
        <w:t xml:space="preserve">[20] </w:t>
      </w:r>
      <w:r>
        <w:rPr>
          <w:rFonts w:ascii="Arial" w:cs="Arial" w:eastAsia="Arial" w:hAnsi="Arial"/>
          <w:sz w:val="22"/>
          <w:szCs w:val="22"/>
        </w:rPr>
        <w:t xml:space="preserve">Panfili, J., de Pontual, H., Troadec, H., Wright, P. J. (red.) (2002).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Manual of Fish Sclerochronology</w:t>
      </w:r>
      <w:r>
        <w:rPr>
          <w:rFonts w:ascii="Arial" w:cs="Arial" w:eastAsia="Arial" w:hAnsi="Arial"/>
          <w:sz w:val="22"/>
          <w:szCs w:val="22"/>
        </w:rPr>
        <w:t xml:space="preserve">. Ifremer–IRD coedition, Brest, France. </w:t>
      </w:r>
      <w:hyperlink w:history="1" r:id="rId6uoncr_kkt3flad3k5t00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https://archimer.ifremer.fr/doc/00017/12801/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_wyltdrffc0oorjnannf" Type="http://schemas.openxmlformats.org/officeDocument/2006/relationships/hyperlink" Target="https://journals.plos.org/plosone/article?id=10.1371/journal.pone.0204713" TargetMode="External"/><Relationship Id="rIdcpzt1okalbe68njjsjvha" Type="http://schemas.openxmlformats.org/officeDocument/2006/relationships/hyperlink" Target="https://journals.plos.org/plosone/article?id=10.1371/journal.pone.0277244" TargetMode="External"/><Relationship Id="rIdkow1ydnknadzsu6m-dnha" Type="http://schemas.openxmlformats.org/officeDocument/2006/relationships/hyperlink" Target="https://www.sciencedirect.com/science/article/abs/pii/S1574954123003540" TargetMode="External"/><Relationship Id="rIdg1c51kkg_gbtqkq4yjyeb" Type="http://schemas.openxmlformats.org/officeDocument/2006/relationships/hyperlink" Target="https://www.sciencedirect.com/science/article/abs/pii/S0165783621001612" TargetMode="External"/><Relationship Id="rIdevxdrktyx5pusz7dxwqxs" Type="http://schemas.openxmlformats.org/officeDocument/2006/relationships/hyperlink" Target="https://www.sciencedirect.com/science/article/abs/pii/S0165783624000560" TargetMode="External"/><Relationship Id="rIdrc01spw2_b60312laf-iu" Type="http://schemas.openxmlformats.org/officeDocument/2006/relationships/hyperlink" Target="https://journals.plos.org/plosone/article?id=10.1371/journal.pone.0235013" TargetMode="External"/><Relationship Id="rIdpunm6eaywwhrzqfwzqng9" Type="http://schemas.openxmlformats.org/officeDocument/2006/relationships/hyperlink" Target="https://academic.oup.com/icesjms/article/81/4/687/7614790" TargetMode="External"/><Relationship Id="rIdgtwmhay_hvhjbyubnzf-3" Type="http://schemas.openxmlformats.org/officeDocument/2006/relationships/hyperlink" Target="https://www.researchgate.net/publication/222709229_Automatic_morphological_detection_of_otolith_nucleus" TargetMode="External"/><Relationship Id="rId1i6y7tce0du9icyxfnysz" Type="http://schemas.openxmlformats.org/officeDocument/2006/relationships/hyperlink" Target="https://www.researchgate.net/publication/222524290_Automated_fish_age_estimation_from_otolith_images_using_statistical_learning" TargetMode="External"/><Relationship Id="rIdn0umxcxlovzpw_-buacjw" Type="http://schemas.openxmlformats.org/officeDocument/2006/relationships/hyperlink" Target="https://www.sciencedirect.com/science/article/abs/pii/S0262885602000981" TargetMode="External"/><Relationship Id="rIdz4q-tugu5sah6vzkcndeg" Type="http://schemas.openxmlformats.org/officeDocument/2006/relationships/hyperlink" Target="https://arxiv.org/abs/2102.11743" TargetMode="External"/><Relationship Id="rId8noppk92cekstee67thfi" Type="http://schemas.openxmlformats.org/officeDocument/2006/relationships/hyperlink" Target="https://openreview.net/forum?id=rJgFDnEYPr" TargetMode="External"/><Relationship Id="rIdvy3pkapliq4-ab41w4sil" Type="http://schemas.openxmlformats.org/officeDocument/2006/relationships/hyperlink" Target="https://openaccess.thecvf.com/content_ECCV_2018/papers/Mingfei_Gao_C-WSL_Count-guided_Weakly_ECCV_2018_paper.pdf" TargetMode="External"/><Relationship Id="rIdszzvw9pkmm4m2xyw2j6yz" Type="http://schemas.openxmlformats.org/officeDocument/2006/relationships/hyperlink" Target="https://link.springer.com/chapter/10.1007/978-3-030-58555-6_37" TargetMode="External"/><Relationship Id="rId6mlftpp5uamqlrdsfs4f6" Type="http://schemas.openxmlformats.org/officeDocument/2006/relationships/hyperlink" Target="https://www.mdpi.com/2410-3888/7/3/121" TargetMode="External"/><Relationship Id="rId8dn8gfh9zjcmpj1ciaesd" Type="http://schemas.openxmlformats.org/officeDocument/2006/relationships/hyperlink" Target="https://openaccess.thecvf.com/content_iccv_2017/html/Selvaraju_Grad-CAM_Visual_Explanations_ICCV_2017_paper.html" TargetMode="External"/><Relationship Id="rIdfhstsaaekpeui3hrdycud" Type="http://schemas.openxmlformats.org/officeDocument/2006/relationships/hyperlink" Target="https://arxiv.org/abs/1905.11946" TargetMode="External"/><Relationship Id="rId9go_vkzze-rkm9ubsfp0e" Type="http://schemas.openxmlformats.org/officeDocument/2006/relationships/hyperlink" Target="https://arxiv.org/abs/1505.04597" TargetMode="External"/><Relationship Id="rId6cw9pqth7l0ks_vrti9ha" Type="http://schemas.openxmlformats.org/officeDocument/2006/relationships/hyperlink" Target="https://onlinelibrary.wiley.com/doi/10.1111/j.1095-8649.2001.tb00127.x" TargetMode="External"/><Relationship Id="rId6uoncr_kkt3flad3k5t00" Type="http://schemas.openxmlformats.org/officeDocument/2006/relationships/hyperlink" Target="https://archimer.ifremer.fr/doc/00017/12801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2026-04-15T17:56:40.660Z</dcterms:created>
  <dcterms:modified xsi:type="dcterms:W3CDTF">2026-04-15T17:56:40.661Z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