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B3C32" w14:textId="5333CB43" w:rsidR="006C7849" w:rsidRDefault="00865DB2" w:rsidP="00E93563">
      <w:pPr>
        <w:pStyle w:val="Nagwek2"/>
      </w:pPr>
      <w:r>
        <w:t>Pobieranie danych</w:t>
      </w:r>
    </w:p>
    <w:p w14:paraId="0509A98D" w14:textId="009C4095" w:rsidR="00E93563" w:rsidRPr="00E93563" w:rsidRDefault="00E93563" w:rsidP="002E7BB4">
      <w:pPr>
        <w:jc w:val="both"/>
      </w:pPr>
      <w:r>
        <w:t xml:space="preserve">Dane zostały pobrane w sposób automatyczny z wykorzystaniem biblioteki </w:t>
      </w:r>
      <w:proofErr w:type="spellStart"/>
      <w:r w:rsidR="000C772F">
        <w:t>yfinance</w:t>
      </w:r>
      <w:proofErr w:type="spellEnd"/>
      <w:r w:rsidR="000C772F">
        <w:t xml:space="preserve">. Dla każdego z okresów, w których dla danych spółek zostały opracowane oceny eksperckie obliczono stopy zwrotu korzystając z wartości akcji na ten dzień i na dzień za 1,3,6, oraz 12 miesięcy. W przypadku, gdy przyszłe dane nie były dostępne (np. ze względu na dzień, w którym giełda jest zamknięta) to zwroty liczono wykorzystując dane najbliższe </w:t>
      </w:r>
      <w:r w:rsidR="002E7BB4">
        <w:t>dacie, na którym wartość akcji była potrzebna.</w:t>
      </w:r>
    </w:p>
    <w:p w14:paraId="4E40D97D" w14:textId="0E3D3A7E" w:rsidR="006C7F02" w:rsidRDefault="006C7F02" w:rsidP="006C7F02">
      <w:pPr>
        <w:pStyle w:val="Nagwek1"/>
      </w:pPr>
      <w:r>
        <w:t>Analiza EDA</w:t>
      </w:r>
    </w:p>
    <w:p w14:paraId="5DF9A5D3" w14:textId="2C29948B" w:rsidR="005E7DEE" w:rsidRPr="005E7DEE" w:rsidRDefault="005E7DEE" w:rsidP="005E7DEE">
      <w:pPr>
        <w:pStyle w:val="Nagwek2"/>
      </w:pPr>
      <w:r>
        <w:t>Czy istnieją spółki, które nie mają żadnych ocen?</w:t>
      </w:r>
    </w:p>
    <w:p w14:paraId="7495CA16" w14:textId="4D7A7175" w:rsidR="001E324C" w:rsidRDefault="001E324C" w:rsidP="001E324C">
      <w:r>
        <w:t>Naszą analizę rozpoczęliśmy od sprawdzenie czy istnieją spółki, które ani razu nie zostały ocenione przez ekspertów.</w:t>
      </w:r>
    </w:p>
    <w:p w14:paraId="6D5F7C3A" w14:textId="216080E3" w:rsidR="001E324C" w:rsidRDefault="005E7DEE" w:rsidP="001E324C">
      <w:r>
        <w:rPr>
          <w:noProof/>
        </w:rPr>
        <w:drawing>
          <wp:inline distT="0" distB="0" distL="0" distR="0" wp14:anchorId="07A963FC" wp14:editId="1CC7385D">
            <wp:extent cx="5751830" cy="2579370"/>
            <wp:effectExtent l="0" t="0" r="127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138C6" w14:textId="7A3A393A" w:rsidR="005E7DEE" w:rsidRDefault="005E7DEE" w:rsidP="001E324C">
      <w:r>
        <w:t>Okazuje się, że istnieje 13 spółek dla których nie ma żadnych ocen. Zostały one przez nas usunięte.</w:t>
      </w:r>
    </w:p>
    <w:p w14:paraId="26B2653A" w14:textId="48C41A36" w:rsidR="005E7DEE" w:rsidRDefault="005E7DEE" w:rsidP="005E7DEE">
      <w:pPr>
        <w:pStyle w:val="Nagwek2"/>
      </w:pPr>
      <w:r>
        <w:t>Czy istnieje duplikaty w danych?</w:t>
      </w:r>
    </w:p>
    <w:p w14:paraId="262E651B" w14:textId="27C4FCE3" w:rsidR="005E7DEE" w:rsidRDefault="005E7DEE" w:rsidP="00A63B8A">
      <w:pPr>
        <w:jc w:val="both"/>
      </w:pPr>
      <w:r>
        <w:t>Zidentyfikowaliśmy 115 duplikatów w wierszach i w każdym przypadku postanowiliśmy zostawić pierwszy z nich. Liczba ta może wynikać nie tylko z własności danych pierwotnych, ale także z zaimplementowanych procedur pobierania danych giełdowych.</w:t>
      </w:r>
    </w:p>
    <w:p w14:paraId="4B264F2E" w14:textId="1D233BBF" w:rsidR="005E7DEE" w:rsidRDefault="005950C5" w:rsidP="005950C5">
      <w:pPr>
        <w:pStyle w:val="Nagwek2"/>
      </w:pPr>
      <w:r>
        <w:lastRenderedPageBreak/>
        <w:t>Jaki procent spółek posiada braki w ocenach?</w:t>
      </w:r>
    </w:p>
    <w:p w14:paraId="6BB7D26B" w14:textId="1C1413C1" w:rsidR="005950C5" w:rsidRPr="005950C5" w:rsidRDefault="00A63B8A" w:rsidP="005950C5">
      <w:r>
        <w:rPr>
          <w:noProof/>
        </w:rPr>
        <w:drawing>
          <wp:inline distT="0" distB="0" distL="0" distR="0" wp14:anchorId="17A23EF2" wp14:editId="43FD3CAC">
            <wp:extent cx="5751830" cy="2579370"/>
            <wp:effectExtent l="0" t="0" r="127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7DC4" w14:textId="60DC54BD" w:rsidR="006C7F02" w:rsidRDefault="00A63B8A" w:rsidP="00A63B8A">
      <w:pPr>
        <w:jc w:val="both"/>
      </w:pPr>
      <w:r>
        <w:t>Okazuje się, że zdecydowana większość ze spółek posiada braki w danych. W związku z tym decyzja o usunięciu lub zostawieniu a także możliwa strategia wypełnienia braków danych stanowi istotny element projektu.</w:t>
      </w:r>
    </w:p>
    <w:p w14:paraId="7FABBBE2" w14:textId="04770305" w:rsidR="00A63B8A" w:rsidRDefault="00A63B8A" w:rsidP="00A63B8A">
      <w:pPr>
        <w:jc w:val="both"/>
      </w:pPr>
      <w:r>
        <w:t>Natomiast po usunięciu spółek, które ani razu nie zostały ocenione przez ekspertów okazało się, że wszystkie pozostałych dostępne są przynajmniej częściowe informacje o zwrotach.</w:t>
      </w:r>
    </w:p>
    <w:p w14:paraId="64BB78FB" w14:textId="7C64875F" w:rsidR="009A1F59" w:rsidRDefault="009A1F59" w:rsidP="009A1F59">
      <w:pPr>
        <w:pStyle w:val="Nagwek2"/>
      </w:pPr>
      <w:r>
        <w:t xml:space="preserve">Rozkład następujących po sobie wartości </w:t>
      </w:r>
      <w:proofErr w:type="spellStart"/>
      <w:r>
        <w:t>null</w:t>
      </w:r>
      <w:proofErr w:type="spellEnd"/>
    </w:p>
    <w:p w14:paraId="37AA2FF6" w14:textId="5A550873" w:rsidR="009A1F59" w:rsidRDefault="009A1F59" w:rsidP="009A1F59">
      <w:r>
        <w:t xml:space="preserve">Uznaliśmy, że najbardziej kłopotliwe w dalszej analizie są następujące po sobie </w:t>
      </w:r>
      <w:r w:rsidR="004B2EEF">
        <w:t xml:space="preserve">braki ocen. W związku z tym dla każdej spółki obliczyliśmy maksymalną liczbę następujących po sobie wartości typu </w:t>
      </w:r>
      <w:proofErr w:type="spellStart"/>
      <w:r w:rsidR="004B2EEF">
        <w:t>null</w:t>
      </w:r>
      <w:proofErr w:type="spellEnd"/>
      <w:r w:rsidR="004B2EEF">
        <w:t>.</w:t>
      </w:r>
    </w:p>
    <w:p w14:paraId="0B320184" w14:textId="5C8AD9AF" w:rsidR="004B2EEF" w:rsidRPr="009A1F59" w:rsidRDefault="004B2EEF" w:rsidP="009A1F59">
      <w:r>
        <w:rPr>
          <w:noProof/>
        </w:rPr>
        <w:drawing>
          <wp:inline distT="0" distB="0" distL="0" distR="0" wp14:anchorId="0C9AADE2" wp14:editId="661F5EF5">
            <wp:extent cx="5751830" cy="2579370"/>
            <wp:effectExtent l="0" t="0" r="127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7F7F" w14:textId="78663A46" w:rsidR="00A63B8A" w:rsidRDefault="004B2EEF" w:rsidP="00A63B8A">
      <w:pPr>
        <w:jc w:val="both"/>
      </w:pPr>
      <w:r>
        <w:t>Postanowiliśmy usunąć wszystkie spółki, które nie posiadały ocen 17 lub więcej razy z rzędu.</w:t>
      </w:r>
    </w:p>
    <w:p w14:paraId="5C91CFC3" w14:textId="1F7EF139" w:rsidR="00A63B8A" w:rsidRDefault="00BB256E" w:rsidP="00BB256E">
      <w:pPr>
        <w:pStyle w:val="Nagwek2"/>
      </w:pPr>
      <w:r>
        <w:t>Jaki procent braków ocen dotyczy wyłącznie jednego przedziału czasowego?</w:t>
      </w:r>
    </w:p>
    <w:p w14:paraId="63F8CD94" w14:textId="10B7FC06" w:rsidR="00BB256E" w:rsidRDefault="00BB256E" w:rsidP="00536049">
      <w:pPr>
        <w:jc w:val="both"/>
      </w:pPr>
      <w:r>
        <w:t xml:space="preserve">Następnie zweryfikowaliśmy jaki procent wszystkich braków </w:t>
      </w:r>
      <w:r w:rsidR="00536049">
        <w:t>ocen dla każdej spółki dotyczy tylko jednego okresu. Może to świadczyć nie tylko o brakach danych, ale także o tym, że w danym okresie czasu spółka nie była publicznie notowana.</w:t>
      </w:r>
    </w:p>
    <w:p w14:paraId="7D4C1F48" w14:textId="13454BFC" w:rsidR="00D10089" w:rsidRDefault="00D10089" w:rsidP="00536049">
      <w:pPr>
        <w:jc w:val="both"/>
      </w:pPr>
      <w:r>
        <w:rPr>
          <w:noProof/>
        </w:rPr>
        <w:lastRenderedPageBreak/>
        <w:drawing>
          <wp:inline distT="0" distB="0" distL="0" distR="0" wp14:anchorId="632C9018" wp14:editId="13648B6B">
            <wp:extent cx="5749925" cy="2576195"/>
            <wp:effectExtent l="0" t="0" r="317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5939F" w14:textId="77777777" w:rsidR="00D10089" w:rsidRDefault="00D10089" w:rsidP="00BB256E">
      <w:r>
        <w:t xml:space="preserve">Zdecydowana większość braków ocen dotyczyła jednego konkretnego okresu. Uznaliśmy w takim wypadku za niezasadne uzupełnia tych braków. </w:t>
      </w:r>
    </w:p>
    <w:p w14:paraId="621FDEFB" w14:textId="5C7B2B2C" w:rsidR="00844A6C" w:rsidRDefault="00D10089" w:rsidP="00BB256E">
      <w:r>
        <w:t>Ostatecznie postanowiliśmy usunąć wszystkie sekwencje trzech lub więcej następujących po sobie braków ocen dla każdej ze spółki</w:t>
      </w:r>
      <w:r w:rsidR="00844A6C">
        <w:t>.  Decyzja ta skutkowała zmniejszenie zbioru dostępnych obserwacji o 23 %.</w:t>
      </w:r>
    </w:p>
    <w:p w14:paraId="7C341637" w14:textId="429A2781" w:rsidR="00844A6C" w:rsidRDefault="00DD070E" w:rsidP="00BB256E">
      <w:r>
        <w:rPr>
          <w:noProof/>
        </w:rPr>
        <w:drawing>
          <wp:inline distT="0" distB="0" distL="0" distR="0" wp14:anchorId="05DD5340" wp14:editId="1166B38F">
            <wp:extent cx="5749925" cy="2576195"/>
            <wp:effectExtent l="0" t="0" r="317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65FE" w14:textId="421B2685" w:rsidR="00DD070E" w:rsidRDefault="00DD070E" w:rsidP="00BB256E">
      <w:r>
        <w:t xml:space="preserve">Zdecydowana większość pozostałych braków dotyczyły pojedynczych ocen. W związku z tym można było dokonać wypełniania brakujących wartości z wykorzystaniem metody </w:t>
      </w:r>
      <w:proofErr w:type="spellStart"/>
      <w:r>
        <w:t>forward-fill</w:t>
      </w:r>
      <w:proofErr w:type="spellEnd"/>
      <w:r>
        <w:t>.</w:t>
      </w:r>
    </w:p>
    <w:p w14:paraId="26A18BE4" w14:textId="01B80D9D" w:rsidR="00C32A3D" w:rsidRDefault="00C32A3D" w:rsidP="00C32A3D">
      <w:pPr>
        <w:pStyle w:val="Nagwek2"/>
      </w:pPr>
      <w:r>
        <w:t>Braki danych w zwrotach</w:t>
      </w:r>
    </w:p>
    <w:p w14:paraId="0CEEF683" w14:textId="12F36C5B" w:rsidR="00C32A3D" w:rsidRPr="00C32A3D" w:rsidRDefault="00C32A3D" w:rsidP="00C32A3D">
      <w:r>
        <w:t xml:space="preserve">Liczba braków w danych w zwrotach pozyskanych z danych giełdowych okazała się być relatywnie niewielka i związku z tym, wiersze, które zawierały wartości typu </w:t>
      </w:r>
      <w:proofErr w:type="spellStart"/>
      <w:r>
        <w:t>Null</w:t>
      </w:r>
      <w:proofErr w:type="spellEnd"/>
      <w:r>
        <w:t xml:space="preserve"> zostały wyłączone z dalszej analizy.</w:t>
      </w:r>
    </w:p>
    <w:p w14:paraId="3E8983F2" w14:textId="7E4351B4" w:rsidR="00C32A3D" w:rsidRDefault="00C32A3D" w:rsidP="00C32A3D">
      <w:pPr>
        <w:jc w:val="center"/>
      </w:pPr>
      <w:r>
        <w:rPr>
          <w:noProof/>
        </w:rPr>
        <w:lastRenderedPageBreak/>
        <w:drawing>
          <wp:inline distT="0" distB="0" distL="0" distR="0" wp14:anchorId="2C9B7D91" wp14:editId="2F393E63">
            <wp:extent cx="3138985" cy="2069977"/>
            <wp:effectExtent l="0" t="0" r="4445" b="698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01" cy="207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252E4" w14:textId="654F93A9" w:rsidR="00C32A3D" w:rsidRDefault="00F763E1" w:rsidP="00C32A3D">
      <w:pPr>
        <w:pStyle w:val="Nagwek1"/>
      </w:pPr>
      <w:r>
        <w:t>Sposób wyboru modelu</w:t>
      </w:r>
      <w:r>
        <w:t xml:space="preserve"> i wykorzystywane miary</w:t>
      </w:r>
    </w:p>
    <w:p w14:paraId="38E09E33" w14:textId="77E6A8E9" w:rsidR="00F763E1" w:rsidRDefault="00F763E1" w:rsidP="00F763E1">
      <w:pPr>
        <w:pStyle w:val="Nagwek2"/>
      </w:pPr>
      <w:proofErr w:type="spellStart"/>
      <w:r>
        <w:t>Mean</w:t>
      </w:r>
      <w:proofErr w:type="spellEnd"/>
      <w:r>
        <w:t xml:space="preserve"> residua </w:t>
      </w:r>
      <w:proofErr w:type="spellStart"/>
      <w:r>
        <w:t>deviance</w:t>
      </w:r>
      <w:proofErr w:type="spellEnd"/>
    </w:p>
    <w:p w14:paraId="66EAEC53" w14:textId="77777777" w:rsidR="00F763E1" w:rsidRPr="00F763E1" w:rsidRDefault="00F763E1" w:rsidP="00F763E1"/>
    <w:p w14:paraId="27D026A6" w14:textId="77777777" w:rsidR="00F763E1" w:rsidRPr="00F763E1" w:rsidRDefault="00F763E1" w:rsidP="00F763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763E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1F927632" wp14:editId="50CD3255">
            <wp:extent cx="3557270" cy="401955"/>
            <wp:effectExtent l="0" t="0" r="508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72B6" w14:textId="77777777" w:rsidR="00F763E1" w:rsidRPr="00F763E1" w:rsidRDefault="00F763E1" w:rsidP="00F76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6A8AA19" w14:textId="102DB658" w:rsidR="00F763E1" w:rsidRPr="00A01A7B" w:rsidRDefault="00F763E1" w:rsidP="00A01A7B">
      <w:pPr>
        <w:jc w:val="both"/>
      </w:pPr>
      <w:proofErr w:type="spellStart"/>
      <w:r w:rsidRPr="00F763E1">
        <w:t>Dewiancja</w:t>
      </w:r>
      <w:proofErr w:type="spellEnd"/>
      <w:r w:rsidRPr="00F763E1">
        <w:t xml:space="preserve"> reszt opisuje jak dobrze zmienna objaśniana może zostać </w:t>
      </w:r>
      <w:proofErr w:type="spellStart"/>
      <w:r w:rsidRPr="00F763E1">
        <w:t>zaprognozwana</w:t>
      </w:r>
      <w:proofErr w:type="spellEnd"/>
      <w:r w:rsidRPr="00F763E1">
        <w:t xml:space="preserve"> przez model z określoną liczbą zmiennych objaśniających. Im niższa wartość tym lepiej model przewiduję wartość zmiennej objaśnianej. Zmienna ta porównuje logarytm funkcji prawdopo</w:t>
      </w:r>
      <w:r w:rsidRPr="00A01A7B">
        <w:t>dobieństwa</w:t>
      </w:r>
      <w:r w:rsidRPr="00F763E1">
        <w:t xml:space="preserve"> naszego modelu do modelu </w:t>
      </w:r>
      <w:r w:rsidRPr="00A01A7B">
        <w:t>teoretycznego</w:t>
      </w:r>
      <w:r w:rsidRPr="00F763E1">
        <w:t xml:space="preserve"> (np. Modelu Poissona). </w:t>
      </w:r>
    </w:p>
    <w:p w14:paraId="44B8FB27" w14:textId="156CAFC7" w:rsidR="00F763E1" w:rsidRDefault="00F763E1" w:rsidP="00F763E1">
      <w:pPr>
        <w:pStyle w:val="Nagwek2"/>
        <w:rPr>
          <w:rFonts w:eastAsia="Times New Roman"/>
          <w:lang w:eastAsia="pl-PL"/>
        </w:rPr>
      </w:pPr>
      <w:r>
        <w:rPr>
          <w:rFonts w:eastAsia="Times New Roman"/>
          <w:lang w:eastAsia="pl-PL"/>
        </w:rPr>
        <w:t>MSE</w:t>
      </w:r>
    </w:p>
    <w:p w14:paraId="428EE75E" w14:textId="3C455876" w:rsidR="00F763E1" w:rsidRDefault="00F763E1" w:rsidP="00F763E1">
      <w:pPr>
        <w:pStyle w:val="Normalny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C598D4E" wp14:editId="6B306FFE">
            <wp:extent cx="2070100" cy="532765"/>
            <wp:effectExtent l="0" t="0" r="6350" b="635"/>
            <wp:docPr id="6" name="Obraz 6" descr="Obraz zawierający tekst, zegarek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zegarek, zega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C8B4" w14:textId="65973464" w:rsidR="00F763E1" w:rsidRPr="00A01A7B" w:rsidRDefault="00F763E1" w:rsidP="00A01A7B">
      <w:pPr>
        <w:jc w:val="both"/>
      </w:pPr>
      <w:r w:rsidRPr="00A01A7B">
        <w:t>Jedna z najczęściej wykorzystywanych funkcji kosztu. MSE oznacza “</w:t>
      </w:r>
      <w:proofErr w:type="spellStart"/>
      <w:r w:rsidRPr="00A01A7B">
        <w:t>mean</w:t>
      </w:r>
      <w:proofErr w:type="spellEnd"/>
      <w:r w:rsidRPr="00A01A7B">
        <w:t xml:space="preserve"> </w:t>
      </w:r>
      <w:proofErr w:type="spellStart"/>
      <w:r w:rsidRPr="00A01A7B">
        <w:t>square</w:t>
      </w:r>
      <w:proofErr w:type="spellEnd"/>
      <w:r w:rsidRPr="00A01A7B">
        <w:t xml:space="preserve"> error”, a więc średni błąd </w:t>
      </w:r>
      <w:proofErr w:type="spellStart"/>
      <w:r w:rsidRPr="00A01A7B">
        <w:t>kwardatowy</w:t>
      </w:r>
      <w:proofErr w:type="spellEnd"/>
      <w:r w:rsidRPr="00A01A7B">
        <w:t xml:space="preserve">. Powodem dla którego metoda ta jest tak często wykorzystywana jest fakt iż daje nam nieobciążony i efektywny estymator. W żadnym razie nie oznacza to jednak, że jest to "najlepsza" funkcja celu. Jedną z jej podstawowych i najważniejszych wad jest fakt iż "przywiązuje zbyt dużą wagę" wartościom odstającym (ang. </w:t>
      </w:r>
      <w:proofErr w:type="spellStart"/>
      <w:r w:rsidRPr="00A01A7B">
        <w:t>outliers</w:t>
      </w:r>
      <w:proofErr w:type="spellEnd"/>
      <w:r w:rsidRPr="00A01A7B">
        <w:t>).</w:t>
      </w:r>
    </w:p>
    <w:p w14:paraId="74C1BB70" w14:textId="7FBDA46C" w:rsidR="00F763E1" w:rsidRDefault="00F763E1" w:rsidP="00F763E1">
      <w:pPr>
        <w:pStyle w:val="Nagwek2"/>
      </w:pPr>
      <w:r>
        <w:t>RMSE</w:t>
      </w:r>
    </w:p>
    <w:p w14:paraId="2959C071" w14:textId="068CDA4F" w:rsidR="00F763E1" w:rsidRDefault="00F763E1" w:rsidP="00F763E1">
      <w:pPr>
        <w:jc w:val="both"/>
      </w:pPr>
      <w:r w:rsidRPr="00F763E1">
        <w:t>Jest to pierwiastek z MSE (r pochodzi od angielskiego “</w:t>
      </w:r>
      <w:proofErr w:type="spellStart"/>
      <w:r w:rsidRPr="00F763E1">
        <w:t>root</w:t>
      </w:r>
      <w:proofErr w:type="spellEnd"/>
      <w:r w:rsidRPr="00F763E1">
        <w:t xml:space="preserve">”). Reprezentuje </w:t>
      </w:r>
      <w:r w:rsidRPr="00F763E1">
        <w:t>pierwiastek</w:t>
      </w:r>
      <w:r w:rsidRPr="00F763E1">
        <w:t xml:space="preserve"> z drugiego </w:t>
      </w:r>
      <w:r w:rsidRPr="00F763E1">
        <w:t>momentu</w:t>
      </w:r>
      <w:r w:rsidRPr="00F763E1">
        <w:t xml:space="preserve"> próbkowania różnic między wartościami przewidywanymi a wartościami obserwowanymi. Z racji na pierwiastek jest zawsze dodatni. Wartość 0 oznacza </w:t>
      </w:r>
      <w:r w:rsidRPr="00F763E1">
        <w:t>idealne</w:t>
      </w:r>
      <w:r w:rsidRPr="00F763E1">
        <w:t xml:space="preserve"> dopasowanie do danych (w praktyce niespotykana). Im mniejsze wartości tym lepiej dla modelu. Miara jest zależna od względnej skali użytych liczb, więc musimy </w:t>
      </w:r>
      <w:r w:rsidRPr="00F763E1">
        <w:t>porównywać</w:t>
      </w:r>
      <w:r w:rsidRPr="00F763E1">
        <w:t xml:space="preserve"> te same zestawy danych.</w:t>
      </w:r>
    </w:p>
    <w:p w14:paraId="649FB488" w14:textId="3B7D3ACD" w:rsidR="00F763E1" w:rsidRDefault="00F763E1" w:rsidP="00F763E1">
      <w:pPr>
        <w:pStyle w:val="Nagwek2"/>
      </w:pPr>
      <w:r>
        <w:t>MAE</w:t>
      </w:r>
    </w:p>
    <w:p w14:paraId="55E5A8B7" w14:textId="2AD00588" w:rsidR="00F763E1" w:rsidRPr="00F763E1" w:rsidRDefault="00F763E1" w:rsidP="00F763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763E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3EC63B81" wp14:editId="79CF8FE4">
            <wp:extent cx="2793365" cy="542925"/>
            <wp:effectExtent l="0" t="0" r="698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8E48" w14:textId="677A7926" w:rsidR="00F763E1" w:rsidRDefault="00F763E1" w:rsidP="00A01A7B">
      <w:pPr>
        <w:jc w:val="both"/>
      </w:pPr>
      <w:r>
        <w:t>Jest to średni błąd bezwzględny (“</w:t>
      </w: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error”). Wartość 0 oznacza </w:t>
      </w:r>
      <w:r>
        <w:t>idealne</w:t>
      </w:r>
      <w:r>
        <w:t xml:space="preserve"> dopasowanie do danych (w praktyce niespotykana).W porównaniu do wartości błędu średniokwadratowego, ta miara dopasowania jest mniej czuła na wartości odstające, to znaczy wyjątkowo duże wartości błędu będą </w:t>
      </w:r>
      <w:r>
        <w:lastRenderedPageBreak/>
        <w:t xml:space="preserve">wpływać na wartość MAE w mniejszym stopniu niż na wartość MSE. Jest popularny w praktyce </w:t>
      </w:r>
      <w:r>
        <w:t>prognozowania</w:t>
      </w:r>
      <w:r>
        <w:t xml:space="preserve"> biznesowego z racji na intuicyjną, prostą interpretację.</w:t>
      </w:r>
    </w:p>
    <w:p w14:paraId="6086A402" w14:textId="5DF1B1D7" w:rsidR="00F763E1" w:rsidRDefault="00F763E1" w:rsidP="00F763E1">
      <w:pPr>
        <w:pStyle w:val="Nagwek2"/>
      </w:pPr>
      <w:r>
        <w:t>RMSE</w:t>
      </w:r>
    </w:p>
    <w:p w14:paraId="7854F559" w14:textId="77777777" w:rsidR="00F763E1" w:rsidRPr="00F763E1" w:rsidRDefault="00F763E1" w:rsidP="00F763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763E1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438CAC87" wp14:editId="06C39E00">
            <wp:extent cx="5607050" cy="20097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55369" w14:textId="77777777" w:rsidR="00F763E1" w:rsidRPr="00F763E1" w:rsidRDefault="00F763E1" w:rsidP="00A01A7B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14:paraId="5A6DDB8E" w14:textId="541B6D75" w:rsidR="00F763E1" w:rsidRPr="00F763E1" w:rsidRDefault="00F763E1" w:rsidP="00A01A7B">
      <w:pPr>
        <w:jc w:val="both"/>
      </w:pPr>
      <w:r w:rsidRPr="00F763E1">
        <w:t xml:space="preserve">Miara podobna do RMSE, przy czym zakłada transformację </w:t>
      </w:r>
      <w:r w:rsidR="00A01A7B" w:rsidRPr="00A01A7B">
        <w:t>logarytmiczną</w:t>
      </w:r>
      <w:r w:rsidRPr="00F763E1">
        <w:t xml:space="preserve"> wartości prognozowanych i wartości zaobserwowanych w danych. Dodanie jedynki (do predykcji i danych </w:t>
      </w:r>
      <w:r w:rsidR="00A01A7B" w:rsidRPr="00A01A7B">
        <w:t>właściwych</w:t>
      </w:r>
      <w:r w:rsidRPr="00F763E1">
        <w:t xml:space="preserve">) jest uwzględnione by uniknąć logarytmów naturalnych z zera. Jeżeli wartości są ujemne to korzystanie z tej funkcji nie ma sensu (z racji na naturę logarytmów). </w:t>
      </w:r>
      <w:r w:rsidR="00A01A7B" w:rsidRPr="00A01A7B">
        <w:t>Funkcja</w:t>
      </w:r>
      <w:r w:rsidRPr="00F763E1">
        <w:t xml:space="preserve"> dobrze sprawdza się jeżeli cel rośnie wykładniczo, zwracamy uwagę na wzrosty procentowe, a nie absolutne, posiadamy duży rozstęp w zmiennej celu, nie chcemy karać za duże różnice, gdy dane i predykcje są dużymi liczbami, chcemy bardziej karać wartości niedoszacowane (w stosunku do przeszacowanych). </w:t>
      </w:r>
    </w:p>
    <w:p w14:paraId="1C405D39" w14:textId="38D623DB" w:rsidR="00F763E1" w:rsidRDefault="00F763E1" w:rsidP="00F763E1"/>
    <w:p w14:paraId="0A2A676C" w14:textId="5C7283D3" w:rsidR="00A01A7B" w:rsidRDefault="00A01A7B" w:rsidP="00A01A7B">
      <w:pPr>
        <w:pStyle w:val="Nagwek2"/>
      </w:pPr>
      <w:r>
        <w:t>R^2</w:t>
      </w:r>
    </w:p>
    <w:p w14:paraId="6E5E2E0C" w14:textId="77777777" w:rsidR="00A01A7B" w:rsidRDefault="00A01A7B" w:rsidP="00A01A7B"/>
    <w:p w14:paraId="517DE1E3" w14:textId="69E46A24" w:rsidR="00F763E1" w:rsidRPr="00F763E1" w:rsidRDefault="00A01A7B" w:rsidP="003D13F1">
      <w:pPr>
        <w:jc w:val="both"/>
      </w:pPr>
      <w:r>
        <w:t>Współczynnik</w:t>
      </w:r>
      <w:r>
        <w:t xml:space="preserve"> determinacji, informuję o tym jaka część zmienności (wariancji) zmiennej objaśnianej w próbie pokrywa się z korelacjami ze zmiennymi zawartymi w modelu. Używany w modelach regresji. Ustandaryzowany, przyjmuję wartości z przedziału [0, 1], im większy tym model lepiej dopasowany do danych. Jego wartości najczęściej są wyrażane w procentach.</w:t>
      </w:r>
    </w:p>
    <w:p w14:paraId="3EF17671" w14:textId="2B77FE64" w:rsidR="00865DB2" w:rsidRDefault="00865DB2" w:rsidP="00C32A3D">
      <w:pPr>
        <w:pStyle w:val="Nagwek1"/>
      </w:pPr>
      <w:r>
        <w:t>Benchmark model</w:t>
      </w:r>
    </w:p>
    <w:p w14:paraId="27DA7FDD" w14:textId="70E81E89" w:rsidR="00C32A3D" w:rsidRDefault="00C32A3D" w:rsidP="00A01A7B">
      <w:pPr>
        <w:jc w:val="both"/>
      </w:pPr>
      <w:r>
        <w:t xml:space="preserve">Jako model do przeprowadzenie benchmarku wybrano najprostszy wariat z metod wchodzących w skład uogólnionych modeli liniowych (ang.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regressions</w:t>
      </w:r>
      <w:proofErr w:type="spellEnd"/>
      <w:r>
        <w:t xml:space="preserve"> </w:t>
      </w:r>
      <w:proofErr w:type="spellStart"/>
      <w:r>
        <w:t>models</w:t>
      </w:r>
      <w:proofErr w:type="spellEnd"/>
      <w:r>
        <w:t>), mianowicie regresję liniową (</w:t>
      </w:r>
      <w:proofErr w:type="spellStart"/>
      <w:r>
        <w:t>gausowską</w:t>
      </w:r>
      <w:proofErr w:type="spellEnd"/>
      <w:r>
        <w:t xml:space="preserve">). Rezultaty dla wszystkich horyzontów </w:t>
      </w:r>
      <w:r w:rsidR="00E47752">
        <w:t>okazały się niezwykle słabe. W niektórych przypadkach R^2 przyjmuje wartości ujemne, co oznacza, że mniejsze wartości błędów można by uzyskać zastępując model najzwyklejszą poziomą linią.</w:t>
      </w:r>
    </w:p>
    <w:p w14:paraId="13E86270" w14:textId="63FD720F" w:rsidR="00E47752" w:rsidRDefault="00E47752"/>
    <w:p w14:paraId="2996ECBC" w14:textId="604DEE77" w:rsidR="00E47752" w:rsidRDefault="00E47752"/>
    <w:p w14:paraId="5A9D20F8" w14:textId="77777777" w:rsidR="009F5D61" w:rsidRDefault="009F5D61">
      <w:r>
        <w:rPr>
          <w:noProof/>
        </w:rPr>
        <w:lastRenderedPageBreak/>
        <w:drawing>
          <wp:inline distT="0" distB="0" distL="0" distR="0" wp14:anchorId="082816CC" wp14:editId="21202683">
            <wp:extent cx="6346058" cy="1153236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487" cy="117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24631" w14:textId="24548C75" w:rsidR="00D525FC" w:rsidRDefault="009F5D61">
      <w:r>
        <w:rPr>
          <w:noProof/>
        </w:rPr>
        <w:drawing>
          <wp:inline distT="0" distB="0" distL="0" distR="0" wp14:anchorId="47918261" wp14:editId="4346D3C7">
            <wp:extent cx="6358235" cy="1057701"/>
            <wp:effectExtent l="0" t="0" r="508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008" cy="106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F9CF" w14:textId="77777777" w:rsidR="00865DB2" w:rsidRDefault="00865DB2"/>
    <w:p w14:paraId="62DB8C7B" w14:textId="4D5FA7A2" w:rsidR="00865DB2" w:rsidRDefault="00865DB2" w:rsidP="0022062B">
      <w:pPr>
        <w:pStyle w:val="Nagwek1"/>
      </w:pPr>
      <w:r>
        <w:t>Wykorzystane metody</w:t>
      </w:r>
    </w:p>
    <w:p w14:paraId="69AED5F4" w14:textId="7E7A45A1" w:rsidR="008D3D94" w:rsidRDefault="008D3D94" w:rsidP="008D3D94">
      <w:pPr>
        <w:pStyle w:val="Nagwek2"/>
      </w:pPr>
      <w:r>
        <w:t xml:space="preserve"> </w:t>
      </w:r>
      <w:proofErr w:type="spellStart"/>
      <w:r>
        <w:t>Generalized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r w:rsidR="0016507A">
        <w:t>(</w:t>
      </w:r>
      <w:r>
        <w:t>GLM).</w:t>
      </w:r>
    </w:p>
    <w:p w14:paraId="6E87B331" w14:textId="77777777" w:rsidR="008D3D94" w:rsidRDefault="008D3D94" w:rsidP="00F540F1">
      <w:pPr>
        <w:jc w:val="both"/>
        <w:rPr>
          <w:rStyle w:val="tojvnm2t"/>
        </w:rPr>
      </w:pPr>
      <w:r>
        <w:rPr>
          <w:rStyle w:val="tojvnm2t"/>
        </w:rPr>
        <w:t xml:space="preserve">Uogólnione modele liniowe (GLM) szacują modele regresji dla zmiennych podążających za rozkładem wykładniczym. Oprócz rozkładu normalnego, obejmują one rozkłady Poissona, dwumianowy i gamma. Każdy z nich służy innym celom i w zależności od wyboru funkcji dystrybucji i łącza może być używany zarówno do przewidywania lub klasyfikacji. </w:t>
      </w:r>
    </w:p>
    <w:p w14:paraId="66F25290" w14:textId="77777777" w:rsidR="008D3D94" w:rsidRDefault="008D3D94" w:rsidP="00F540F1">
      <w:pPr>
        <w:jc w:val="both"/>
        <w:rPr>
          <w:rStyle w:val="tojvnm2t"/>
        </w:rPr>
      </w:pPr>
      <w:r>
        <w:rPr>
          <w:rStyle w:val="tojvnm2t"/>
        </w:rPr>
        <w:t xml:space="preserve">GLM obsługuje zarówno klasyfikację binarną, jak i wielomianową. W przypadku klasyfikacji binarnej kolumna odpowiedzi może mieć tylko dwa poziomy; w przypadku klasyfikacji wielomianowej kolumna odpowiedzi będzie miała więcej niż dwa poziomy. </w:t>
      </w:r>
    </w:p>
    <w:p w14:paraId="79565093" w14:textId="77777777" w:rsidR="008D3D94" w:rsidRDefault="008D3D94" w:rsidP="00F540F1">
      <w:pPr>
        <w:jc w:val="both"/>
        <w:rPr>
          <w:rStyle w:val="tojvnm2t"/>
        </w:rPr>
      </w:pPr>
      <w:r>
        <w:rPr>
          <w:rStyle w:val="tojvnm2t"/>
        </w:rPr>
        <w:t xml:space="preserve">Gdy GLM wykonuje regresję (z kolumnami czynników), jedną kategorię można pominąć, aby uniknąć </w:t>
      </w:r>
      <w:proofErr w:type="spellStart"/>
      <w:r>
        <w:rPr>
          <w:rStyle w:val="tojvnm2t"/>
        </w:rPr>
        <w:t>wielowspółliniowości</w:t>
      </w:r>
      <w:proofErr w:type="spellEnd"/>
      <w:r>
        <w:rPr>
          <w:rStyle w:val="tojvnm2t"/>
        </w:rPr>
        <w:t xml:space="preserve">. Jeśli </w:t>
      </w:r>
      <w:proofErr w:type="spellStart"/>
      <w:r>
        <w:rPr>
          <w:rStyle w:val="tojvnm2t"/>
        </w:rPr>
        <w:t>regularyzacja</w:t>
      </w:r>
      <w:proofErr w:type="spellEnd"/>
      <w:r>
        <w:rPr>
          <w:rStyle w:val="tojvnm2t"/>
        </w:rPr>
        <w:t xml:space="preserve"> jest wyłączona (lambda = 0), to jedna kategoria jest pomijana. Jednak w przypadku korzystania z domyślnego parametru lambda uwzględniane są wszystkie kategorie. </w:t>
      </w:r>
    </w:p>
    <w:p w14:paraId="7F5E17AD" w14:textId="77777777" w:rsidR="008D3D94" w:rsidRDefault="008D3D94" w:rsidP="00F540F1">
      <w:pPr>
        <w:jc w:val="both"/>
        <w:rPr>
          <w:rStyle w:val="tojvnm2t"/>
        </w:rPr>
      </w:pPr>
      <w:r>
        <w:rPr>
          <w:rStyle w:val="tojvnm2t"/>
        </w:rPr>
        <w:t xml:space="preserve">Najprostszym przykładem GLM jest regresja liniowa. Ma wiele zastosowań i kilka zalet w porównaniu z innymi rodzinami. W szczególności jest szybszy i wymaga bardziej stabilnych obliczeń. Funkcja łączenia g jest tożsamością, a gęstość f odpowiada rozkładowi normalnemu. Rodzina Gaussowska modeluje zależność między odpowiedzią y a wektorem towarzyszącym x jako funkcję liniową: </w:t>
      </w:r>
    </w:p>
    <w:p w14:paraId="57BF46DA" w14:textId="77777777" w:rsidR="008D3D94" w:rsidRDefault="008D3D94" w:rsidP="008D3D94">
      <w:pPr>
        <w:rPr>
          <w:rStyle w:val="tojvnm2t"/>
        </w:rPr>
      </w:pPr>
      <m:oMathPara>
        <m:oMath>
          <m:acc>
            <m:accPr>
              <m:chr m:val="̃"/>
              <m:ctrlPr>
                <w:rPr>
                  <w:rStyle w:val="tojvnm2t"/>
                  <w:rFonts w:ascii="Cambria Math" w:hAnsi="Cambria Math"/>
                </w:rPr>
              </m:ctrlPr>
            </m:accPr>
            <m:e>
              <m:r>
                <w:rPr>
                  <w:rStyle w:val="tojvnm2t"/>
                  <w:rFonts w:ascii="Cambria Math" w:hAnsi="Cambria Math"/>
                </w:rPr>
                <m:t>y</m:t>
              </m:r>
            </m:e>
          </m:acc>
          <m:r>
            <w:rPr>
              <w:rStyle w:val="tojvnm2t"/>
              <w:rFonts w:ascii="Cambria Math" w:hAnsi="Cambria Math"/>
            </w:rPr>
            <m:t>=</m:t>
          </m:r>
          <m:sSup>
            <m:sSupPr>
              <m:ctrlPr>
                <w:rPr>
                  <w:rStyle w:val="tojvnm2t"/>
                  <w:rFonts w:ascii="Cambria Math" w:hAnsi="Cambria Math"/>
                  <w:i/>
                </w:rPr>
              </m:ctrlPr>
            </m:sSupPr>
            <m:e>
              <m:r>
                <w:rPr>
                  <w:rStyle w:val="tojvnm2t"/>
                  <w:rFonts w:ascii="Cambria Math" w:hAnsi="Cambria Math"/>
                </w:rPr>
                <m:t>x</m:t>
              </m:r>
            </m:e>
            <m:sup>
              <m:r>
                <w:rPr>
                  <w:rStyle w:val="tojvnm2t"/>
                  <w:rFonts w:ascii="Cambria Math" w:hAnsi="Cambria Math"/>
                </w:rPr>
                <m:t>T</m:t>
              </m:r>
            </m:sup>
          </m:sSup>
          <m:r>
            <m:rPr>
              <m:nor/>
            </m:rPr>
            <w:rPr>
              <w:rStyle w:val="tojvnm2t"/>
              <w:rFonts w:ascii="Cambria Math" w:hAnsi="Cambria Math"/>
            </w:rPr>
            <m:t>β</m:t>
          </m:r>
          <m:r>
            <w:rPr>
              <w:rStyle w:val="tojvnm2t"/>
              <w:rFonts w:ascii="Cambria Math" w:hAnsi="Cambria Math"/>
            </w:rPr>
            <m:t>+</m:t>
          </m:r>
          <m:sSub>
            <m:sSubPr>
              <m:ctrlPr>
                <w:rPr>
                  <w:rStyle w:val="tojvnm2t"/>
                  <w:rFonts w:ascii="Cambria Math" w:hAnsi="Cambria Math"/>
                  <w:i/>
                </w:rPr>
              </m:ctrlPr>
            </m:sSubPr>
            <m:e>
              <m:r>
                <w:rPr>
                  <w:rStyle w:val="tojvnm2t"/>
                  <w:rFonts w:ascii="Cambria Math" w:hAnsi="Cambria Math"/>
                </w:rPr>
                <m:t>β</m:t>
              </m:r>
            </m:e>
            <m:sub>
              <m:r>
                <w:rPr>
                  <w:rStyle w:val="tojvnm2t"/>
                  <w:rFonts w:ascii="Cambria Math" w:hAnsi="Cambria Math"/>
                </w:rPr>
                <m:t>0</m:t>
              </m:r>
            </m:sub>
          </m:sSub>
        </m:oMath>
      </m:oMathPara>
    </w:p>
    <w:p w14:paraId="600DEE89" w14:textId="77777777" w:rsidR="008D3D94" w:rsidRDefault="008D3D94" w:rsidP="008D3D94">
      <w:pPr>
        <w:rPr>
          <w:rStyle w:val="tojvnm2t"/>
        </w:rPr>
      </w:pPr>
    </w:p>
    <w:p w14:paraId="1184F9B4" w14:textId="77777777" w:rsidR="008D3D94" w:rsidRDefault="008D3D94" w:rsidP="008D3D94">
      <w:pPr>
        <w:rPr>
          <w:rStyle w:val="tojvnm2t"/>
        </w:rPr>
      </w:pPr>
      <w:r>
        <w:rPr>
          <w:rStyle w:val="tojvnm2t"/>
        </w:rPr>
        <w:t xml:space="preserve">Model jest dopasowywany przez rozwiązanie problemu najmniejszych kwadratów, co jest równoważne maksymalizacji prawdopodobieństwa dla rodziny Gaussa. </w:t>
      </w:r>
    </w:p>
    <w:p w14:paraId="5F674A08" w14:textId="2B26AFDF" w:rsidR="00A01A7B" w:rsidRPr="00F540F1" w:rsidRDefault="00F540F1" w:rsidP="00A01A7B">
      <w:pPr>
        <w:rPr>
          <w:rFonts w:eastAsiaTheme="minorEastAsia"/>
        </w:rPr>
      </w:pPr>
      <m:oMathPara>
        <m:oMath>
          <m:sPre>
            <m:sPrePr>
              <m:ctrlPr>
                <w:rPr>
                  <w:rFonts w:ascii="Cambria Math" w:hAnsi="Cambria Math"/>
                  <w:i/>
                </w:rPr>
              </m:ctrlPr>
            </m:sPre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max</m:t>
              </m:r>
            </m:sup>
            <m:e>
              <m:r>
                <w:rPr>
                  <w:rFonts w:ascii="Cambria Math" w:hAnsi="Cambria Math"/>
                </w:rPr>
                <m:t>-</m:t>
              </m:r>
            </m:e>
          </m:sPre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2N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i-1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β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635D05D" w14:textId="598724CC" w:rsidR="00F540F1" w:rsidRDefault="00F540F1" w:rsidP="00A01A7B">
      <w:pPr>
        <w:rPr>
          <w:rFonts w:eastAsiaTheme="minorEastAsia"/>
        </w:rPr>
      </w:pPr>
    </w:p>
    <w:p w14:paraId="79397290" w14:textId="77777777" w:rsidR="00F540F1" w:rsidRDefault="00F540F1" w:rsidP="00F540F1">
      <w:pPr>
        <w:rPr>
          <w:rStyle w:val="tojvnm2t"/>
        </w:rPr>
      </w:pPr>
      <w:r>
        <w:rPr>
          <w:rStyle w:val="tojvnm2t"/>
        </w:rPr>
        <w:t>Suma kwadratów błędów przewidywania</w:t>
      </w:r>
      <w:r>
        <w:rPr>
          <w:rStyle w:val="tojvnm2t"/>
        </w:rPr>
        <w:t>:</w:t>
      </w:r>
    </w:p>
    <w:p w14:paraId="295569E4" w14:textId="77777777" w:rsidR="00F540F1" w:rsidRPr="00F540F1" w:rsidRDefault="00F540F1" w:rsidP="00F540F1">
      <w:pPr>
        <w:rPr>
          <w:rStyle w:val="tojvnm2t"/>
          <w:rFonts w:eastAsiaTheme="minorEastAsia"/>
        </w:rPr>
      </w:pPr>
      <m:oMathPara>
        <m:oMath>
          <m:r>
            <w:rPr>
              <w:rStyle w:val="tojvnm2t"/>
              <w:rFonts w:ascii="Cambria Math" w:hAnsi="Cambria Math"/>
            </w:rPr>
            <w:lastRenderedPageBreak/>
            <m:t>D=</m:t>
          </m:r>
          <m:nary>
            <m:naryPr>
              <m:chr m:val="∑"/>
              <m:ctrlPr>
                <w:rPr>
                  <w:rStyle w:val="tojvnm2t"/>
                  <w:rFonts w:ascii="Cambria Math" w:hAnsi="Cambria Math"/>
                </w:rPr>
              </m:ctrlPr>
            </m:naryPr>
            <m:sub>
              <m:r>
                <w:rPr>
                  <w:rStyle w:val="tojvnm2t"/>
                  <w:rFonts w:ascii="Cambria Math" w:hAnsi="Cambria Math"/>
                </w:rPr>
                <m:t>N</m:t>
              </m:r>
              <m:ctrlPr>
                <w:rPr>
                  <w:rStyle w:val="tojvnm2t"/>
                  <w:rFonts w:ascii="Cambria Math" w:hAnsi="Cambria Math"/>
                  <w:i/>
                </w:rPr>
              </m:ctrlPr>
            </m:sub>
            <m:sup>
              <m:r>
                <w:rPr>
                  <w:rStyle w:val="tojvnm2t"/>
                  <w:rFonts w:ascii="Cambria Math" w:hAnsi="Cambria Math"/>
                </w:rPr>
                <m:t>i=1</m:t>
              </m:r>
              <m:ctrlPr>
                <w:rPr>
                  <w:rStyle w:val="tojvnm2t"/>
                  <w:rFonts w:ascii="Cambria Math" w:hAnsi="Cambria Math"/>
                  <w:i/>
                </w:rPr>
              </m:ctrlPr>
            </m:sup>
            <m:e>
              <m:sSup>
                <m:sSupPr>
                  <m:ctrlPr>
                    <w:rPr>
                      <w:rStyle w:val="tojvnm2t"/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Style w:val="tojvnm2t"/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tojvnm2t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Style w:val="tojvnm2t"/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Style w:val="tojvnm2t"/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tojvnm2t"/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Style w:val="tojvnm2t"/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Style w:val="tojvnm2t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Style w:val="tojvnm2t"/>
                                  <w:rFonts w:ascii="Cambria Math" w:hAnsi="Cambria Math"/>
                                </w:rPr>
                                <m:t>y</m:t>
                              </m:r>
                              <m:ctrlPr>
                                <w:rPr>
                                  <w:rStyle w:val="tojvnm2t"/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Style w:val="tojvnm2t"/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Style w:val="tojvnm2t"/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Style w:val="tojvnm2t"/>
                  <w:rFonts w:ascii="Cambria Math" w:hAnsi="Cambria Math"/>
                  <w:i/>
                </w:rPr>
              </m:ctrlPr>
            </m:e>
          </m:nary>
        </m:oMath>
      </m:oMathPara>
    </w:p>
    <w:p w14:paraId="1D8E1CC7" w14:textId="31DDE98C" w:rsidR="00F540F1" w:rsidRPr="003D13F1" w:rsidRDefault="00F540F1" w:rsidP="00F540F1">
      <w:pPr>
        <w:rPr>
          <w:rStyle w:val="tojvnm2t"/>
          <w:rFonts w:eastAsiaTheme="minorEastAsia"/>
          <w:lang w:val="en-GB"/>
        </w:rPr>
      </w:pPr>
      <w:r w:rsidRPr="003D13F1">
        <w:rPr>
          <w:rStyle w:val="tojvnm2t"/>
          <w:lang w:val="en-GB"/>
        </w:rPr>
        <w:t xml:space="preserve"> </w:t>
      </w:r>
    </w:p>
    <w:p w14:paraId="5B2CC208" w14:textId="69E3CC90" w:rsidR="003D13F1" w:rsidRDefault="003D13F1" w:rsidP="003D13F1">
      <w:pPr>
        <w:pStyle w:val="Nagwek2"/>
        <w:rPr>
          <w:lang w:val="en-GB"/>
        </w:rPr>
      </w:pPr>
      <w:r w:rsidRPr="003D13F1">
        <w:rPr>
          <w:lang w:val="en-GB"/>
        </w:rPr>
        <w:t>Generalized Add</w:t>
      </w:r>
      <w:r>
        <w:rPr>
          <w:lang w:val="en-GB"/>
        </w:rPr>
        <w:t>i</w:t>
      </w:r>
      <w:r w:rsidRPr="003D13F1">
        <w:rPr>
          <w:lang w:val="en-GB"/>
        </w:rPr>
        <w:t>tive Models (GAM)</w:t>
      </w:r>
    </w:p>
    <w:p w14:paraId="5BDC1229" w14:textId="39024069" w:rsidR="003D13F1" w:rsidRPr="003D13F1" w:rsidRDefault="003D13F1" w:rsidP="003D13F1">
      <w:pPr>
        <w:jc w:val="both"/>
      </w:pPr>
      <w:r w:rsidRPr="003D13F1">
        <w:t xml:space="preserve">Ogólny model addytywny jest ogólnym modelem liniowym, w którym </w:t>
      </w:r>
      <w:r w:rsidRPr="003D13F1">
        <w:t>predykator</w:t>
      </w:r>
      <w:r w:rsidRPr="003D13F1">
        <w:t xml:space="preserve"> liniowy zależy liniowo od zmiennych predykcyjnych i gładkich funkcji zmiennych predykcyjnych.</w:t>
      </w:r>
      <w:r w:rsidRPr="003D13F1">
        <w:tab/>
      </w:r>
    </w:p>
    <w:p w14:paraId="6DD22A04" w14:textId="77777777" w:rsidR="003D13F1" w:rsidRDefault="003D13F1" w:rsidP="003D13F1">
      <w:pPr>
        <w:jc w:val="both"/>
      </w:pPr>
      <w:r w:rsidRPr="003D13F1">
        <w:t xml:space="preserve">Prosty model liniowy. Zakładając n obserwacji, xi ze zmienną odpowiedzi </w:t>
      </w:r>
      <w:proofErr w:type="spellStart"/>
      <w:r w:rsidRPr="003D13F1">
        <w:t>yi</w:t>
      </w:r>
      <w:proofErr w:type="spellEnd"/>
      <w:r w:rsidRPr="003D13F1">
        <w:t xml:space="preserve">, gdzie </w:t>
      </w:r>
      <w:proofErr w:type="spellStart"/>
      <w:r w:rsidRPr="003D13F1">
        <w:t>yi</w:t>
      </w:r>
      <w:proofErr w:type="spellEnd"/>
      <w:r w:rsidRPr="003D13F1">
        <w:t xml:space="preserve"> jest obserwacją zmiennej </w:t>
      </w:r>
      <w:proofErr w:type="spellStart"/>
      <w:r w:rsidRPr="003D13F1">
        <w:t>Yi</w:t>
      </w:r>
      <w:proofErr w:type="spellEnd"/>
      <w:r w:rsidRPr="003D13F1">
        <w:t xml:space="preserve">, niech </w:t>
      </w:r>
      <w:proofErr w:type="spellStart"/>
      <w:r w:rsidRPr="003D13F1">
        <w:t>ui≡E</w:t>
      </w:r>
      <w:proofErr w:type="spellEnd"/>
      <w:r w:rsidRPr="003D13F1">
        <w:t>(</w:t>
      </w:r>
      <w:proofErr w:type="spellStart"/>
      <w:r w:rsidRPr="003D13F1">
        <w:t>Yi</w:t>
      </w:r>
      <w:proofErr w:type="spellEnd"/>
      <w:r w:rsidRPr="003D13F1">
        <w:t xml:space="preserve">). Przyjmując liniową zależność pomiędzy zmiennymi predykcyjnymi a odpowiedzią istnieje następująca zależność między xi i </w:t>
      </w:r>
      <w:proofErr w:type="spellStart"/>
      <w:r w:rsidRPr="003D13F1">
        <w:t>Yi</w:t>
      </w:r>
      <w:proofErr w:type="spellEnd"/>
      <w:r w:rsidRPr="003D13F1">
        <w:t>:</w:t>
      </w:r>
    </w:p>
    <w:p w14:paraId="0701C1C9" w14:textId="77777777" w:rsidR="003D13F1" w:rsidRPr="003D13F1" w:rsidRDefault="003D13F1" w:rsidP="003D13F1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 gdzie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263CE08" w14:textId="77777777" w:rsidR="003D13F1" w:rsidRDefault="003D13F1" w:rsidP="003D13F1">
      <w:r>
        <w:t xml:space="preserve">gdzie βi </w:t>
      </w:r>
      <w:proofErr w:type="spellStart"/>
      <w:r>
        <w:t>i</w:t>
      </w:r>
      <w:proofErr w:type="spellEnd"/>
      <w:r>
        <w:t xml:space="preserve"> β0 są nieznanymi parametrami, ϵi jest </w:t>
      </w:r>
      <w:proofErr w:type="spellStart"/>
      <w:r>
        <w:t>i.i.d</w:t>
      </w:r>
      <w:proofErr w:type="spellEnd"/>
      <w:r>
        <w:t xml:space="preserve"> zerową zmienną z wariancjami δ2.</w:t>
      </w:r>
      <w:r>
        <w:tab/>
      </w:r>
    </w:p>
    <w:p w14:paraId="4D2FDBF0" w14:textId="77777777" w:rsidR="003D13F1" w:rsidRPr="003D13F1" w:rsidRDefault="003D13F1" w:rsidP="003D13F1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rFonts w:ascii="Cambria Math" w:hAnsi="Cambria Math"/>
            </w:rPr>
            <m:t xml:space="preserve"> gdzie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CA71B90" w14:textId="77777777" w:rsidR="003D13F1" w:rsidRDefault="003D13F1" w:rsidP="003D13F1">
      <w:pPr>
        <w:pStyle w:val="Nagwek2"/>
      </w:pPr>
      <w:r>
        <w:t xml:space="preserve">Distributed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(DRF)</w:t>
      </w:r>
    </w:p>
    <w:p w14:paraId="24B18C55" w14:textId="57A7D51A" w:rsidR="003D13F1" w:rsidRPr="003D13F1" w:rsidRDefault="003D13F1" w:rsidP="003D13F1">
      <w:pPr>
        <w:pStyle w:val="Nagwek2"/>
        <w:jc w:val="both"/>
        <w:rPr>
          <w:rFonts w:asciiTheme="minorHAnsi" w:eastAsiaTheme="minorEastAsia" w:hAnsiTheme="minorHAnsi" w:cstheme="minorBidi"/>
        </w:rPr>
      </w:pPr>
      <w:r w:rsidRPr="003D13F1">
        <w:tab/>
      </w:r>
    </w:p>
    <w:p w14:paraId="3CCAF904" w14:textId="50070E37" w:rsidR="003D13F1" w:rsidRPr="003D13F1" w:rsidRDefault="003D13F1" w:rsidP="003D13F1">
      <w:pPr>
        <w:jc w:val="both"/>
      </w:pPr>
      <w:r w:rsidRPr="003D13F1">
        <w:t xml:space="preserve">Rozproszony losowy las generuje las klasyfikacji lub regresji. Każde drzewo jest słabym uczniem zbudowanym na podzbiorze wierszy i kolumn. Większa ilość drzew </w:t>
      </w:r>
      <w:r w:rsidRPr="003D13F1">
        <w:t>zmniejsz</w:t>
      </w:r>
      <w:r>
        <w:t>a</w:t>
      </w:r>
      <w:r w:rsidRPr="003D13F1">
        <w:t xml:space="preserve"> wariancję. Zarówno klasyfikacja, jak i regresja biorą pod uwagę średnią prognozę dla wszystkich swoich drzew, aby uzyskać końcową prognozę, niezależnie od tego, czy </w:t>
      </w:r>
      <w:r w:rsidRPr="003D13F1">
        <w:t>przewiduje</w:t>
      </w:r>
      <w:r w:rsidRPr="003D13F1">
        <w:t xml:space="preserve"> się klasę, czy wartość liczbową.</w:t>
      </w:r>
      <w:r w:rsidRPr="003D13F1">
        <w:tab/>
      </w:r>
    </w:p>
    <w:p w14:paraId="51BFDE53" w14:textId="1C594F85" w:rsidR="003D13F1" w:rsidRDefault="003D13F1" w:rsidP="003D13F1">
      <w:pPr>
        <w:jc w:val="both"/>
      </w:pPr>
      <w:r w:rsidRPr="003D13F1">
        <w:t xml:space="preserve">Przypisanie liścia węzła. </w:t>
      </w:r>
      <w:r w:rsidRPr="003D13F1">
        <w:t>Drzewa</w:t>
      </w:r>
      <w:r w:rsidRPr="003D13F1">
        <w:t xml:space="preserve"> grupują obserwacje w węzły liści, te informacje mogą być przydatne do inżynierii funkcji lub interpretacji modelu.</w:t>
      </w:r>
      <w:r w:rsidRPr="003D13F1">
        <w:tab/>
      </w:r>
    </w:p>
    <w:p w14:paraId="13897BA6" w14:textId="03A2157C" w:rsidR="003D13F1" w:rsidRDefault="003D13F1" w:rsidP="003D13F1">
      <w:pPr>
        <w:pStyle w:val="Nagwek2"/>
      </w:pPr>
      <w:proofErr w:type="spellStart"/>
      <w:r>
        <w:t>Stacked</w:t>
      </w:r>
      <w:proofErr w:type="spellEnd"/>
      <w:r>
        <w:t xml:space="preserve"> </w:t>
      </w:r>
      <w:proofErr w:type="spellStart"/>
      <w:r>
        <w:t>Ensambles</w:t>
      </w:r>
      <w:proofErr w:type="spellEnd"/>
    </w:p>
    <w:p w14:paraId="285F91F7" w14:textId="77777777" w:rsidR="003D13F1" w:rsidRDefault="003D13F1" w:rsidP="003D13F1">
      <w:proofErr w:type="spellStart"/>
      <w:r>
        <w:t>Stacked</w:t>
      </w:r>
      <w:proofErr w:type="spellEnd"/>
      <w:r>
        <w:t xml:space="preserve"> </w:t>
      </w:r>
      <w:proofErr w:type="spellStart"/>
      <w:r>
        <w:t>Ensambles</w:t>
      </w:r>
      <w:proofErr w:type="spellEnd"/>
      <w:r>
        <w:t xml:space="preserve"> jest metodą nadzorowania algorytmów uczenia maszynowego w zespole, który znajduje optymalną kombinację zbioru algorytmów przewidywania przy użyciu procesu zwanego układaniem w stos.</w:t>
      </w:r>
      <w:r>
        <w:tab/>
      </w:r>
    </w:p>
    <w:p w14:paraId="7C1EDFA1" w14:textId="7351C76D" w:rsidR="003D13F1" w:rsidRDefault="003D13F1" w:rsidP="003D13F1">
      <w:pPr>
        <w:jc w:val="both"/>
      </w:pPr>
      <w:proofErr w:type="spellStart"/>
      <w:r>
        <w:t>Stacking</w:t>
      </w:r>
      <w:proofErr w:type="spellEnd"/>
      <w:r>
        <w:t xml:space="preserve">, znany również jako Super Learning lub </w:t>
      </w:r>
      <w:proofErr w:type="spellStart"/>
      <w:r>
        <w:t>Stacked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jest klasą algorytmów, która polega na szkoleniu "</w:t>
      </w:r>
      <w:proofErr w:type="spellStart"/>
      <w:r>
        <w:t>meta</w:t>
      </w:r>
      <w:r>
        <w:t>ucznia</w:t>
      </w:r>
      <w:proofErr w:type="spellEnd"/>
      <w:r>
        <w:t>" ("</w:t>
      </w:r>
      <w:proofErr w:type="spellStart"/>
      <w:r>
        <w:t>metalearner</w:t>
      </w:r>
      <w:proofErr w:type="spellEnd"/>
      <w:r>
        <w:t>"</w:t>
      </w:r>
      <w:r>
        <w:t xml:space="preserve">) </w:t>
      </w:r>
      <w:r>
        <w:t xml:space="preserve">drugiego poziomu w celu odnalezienia optymalnej kombinacji podstawowych uczniów. Celem układania w stosy jest </w:t>
      </w:r>
      <w:r>
        <w:t>zgromadzenie</w:t>
      </w:r>
      <w:r>
        <w:t xml:space="preserve"> razem </w:t>
      </w:r>
      <w:r>
        <w:t>silnych</w:t>
      </w:r>
      <w:r>
        <w:t xml:space="preserve"> i zróżnicowanych grup uczniów.</w:t>
      </w:r>
      <w:r>
        <w:tab/>
      </w:r>
    </w:p>
    <w:p w14:paraId="235C92DE" w14:textId="1267ABC9" w:rsidR="003D13F1" w:rsidRDefault="003D13F1" w:rsidP="003D13F1">
      <w:pPr>
        <w:pStyle w:val="Nagwek2"/>
        <w:rPr>
          <w:lang w:val="en-GB"/>
        </w:rPr>
      </w:pPr>
      <w:r w:rsidRPr="00FB0EE2">
        <w:rPr>
          <w:lang w:val="en-GB"/>
        </w:rPr>
        <w:t xml:space="preserve">Extremely Randomized Trees (w </w:t>
      </w:r>
      <w:proofErr w:type="spellStart"/>
      <w:r w:rsidRPr="00FB0EE2">
        <w:rPr>
          <w:lang w:val="en-GB"/>
        </w:rPr>
        <w:t>ramach</w:t>
      </w:r>
      <w:proofErr w:type="spellEnd"/>
      <w:r w:rsidRPr="00FB0EE2">
        <w:rPr>
          <w:lang w:val="en-GB"/>
        </w:rPr>
        <w:t xml:space="preserve"> DRF)</w:t>
      </w:r>
    </w:p>
    <w:p w14:paraId="0618E0F5" w14:textId="561BD645" w:rsidR="003D13F1" w:rsidRDefault="003D13F1" w:rsidP="003D13F1">
      <w:pPr>
        <w:jc w:val="both"/>
        <w:rPr>
          <w:lang w:val="en-GB"/>
        </w:rPr>
      </w:pPr>
      <w:r w:rsidRPr="003D13F1">
        <w:t xml:space="preserve">W lasach losowych podzbiór cech branych pod uwagę jest używany do określenia najbardziej dyskryminujących progów, które będą wybrane jako reguła podziału. W ekstremalnie losowych drzewach (XRT) używany jest losowy podzbiór cech kandydujących, lecz nie są szukane najbardziej dyskryminujące progi, lecz są one losowane dla każdej cechy </w:t>
      </w:r>
      <w:proofErr w:type="spellStart"/>
      <w:r w:rsidRPr="003D13F1">
        <w:t>kandyduącej</w:t>
      </w:r>
      <w:proofErr w:type="spellEnd"/>
      <w:r w:rsidRPr="003D13F1">
        <w:t xml:space="preserve">, a najlepszy z nich jest wybierany jako reguła podziału. </w:t>
      </w:r>
      <w:proofErr w:type="spellStart"/>
      <w:r w:rsidRPr="003D13F1">
        <w:rPr>
          <w:lang w:val="en-GB"/>
        </w:rPr>
        <w:t>Pozwala</w:t>
      </w:r>
      <w:proofErr w:type="spellEnd"/>
      <w:r w:rsidRPr="003D13F1">
        <w:rPr>
          <w:lang w:val="en-GB"/>
        </w:rPr>
        <w:t xml:space="preserve"> to </w:t>
      </w:r>
      <w:proofErr w:type="spellStart"/>
      <w:r w:rsidRPr="003D13F1">
        <w:rPr>
          <w:lang w:val="en-GB"/>
        </w:rPr>
        <w:t>zredukować</w:t>
      </w:r>
      <w:proofErr w:type="spellEnd"/>
      <w:r w:rsidRPr="003D13F1">
        <w:rPr>
          <w:lang w:val="en-GB"/>
        </w:rPr>
        <w:t xml:space="preserve"> </w:t>
      </w:r>
      <w:proofErr w:type="spellStart"/>
      <w:r w:rsidRPr="003D13F1">
        <w:rPr>
          <w:lang w:val="en-GB"/>
        </w:rPr>
        <w:t>wariancję</w:t>
      </w:r>
      <w:proofErr w:type="spellEnd"/>
      <w:r w:rsidRPr="003D13F1">
        <w:rPr>
          <w:lang w:val="en-GB"/>
        </w:rPr>
        <w:t xml:space="preserve"> </w:t>
      </w:r>
      <w:proofErr w:type="spellStart"/>
      <w:r w:rsidRPr="003D13F1">
        <w:rPr>
          <w:lang w:val="en-GB"/>
        </w:rPr>
        <w:t>modelu</w:t>
      </w:r>
      <w:proofErr w:type="spellEnd"/>
      <w:r w:rsidRPr="003D13F1">
        <w:rPr>
          <w:lang w:val="en-GB"/>
        </w:rPr>
        <w:t xml:space="preserve">, </w:t>
      </w:r>
      <w:proofErr w:type="spellStart"/>
      <w:r w:rsidRPr="003D13F1">
        <w:rPr>
          <w:lang w:val="en-GB"/>
        </w:rPr>
        <w:t>kosztem</w:t>
      </w:r>
      <w:proofErr w:type="spellEnd"/>
      <w:r w:rsidRPr="003D13F1">
        <w:rPr>
          <w:lang w:val="en-GB"/>
        </w:rPr>
        <w:t xml:space="preserve"> </w:t>
      </w:r>
      <w:proofErr w:type="spellStart"/>
      <w:r w:rsidRPr="003D13F1">
        <w:rPr>
          <w:lang w:val="en-GB"/>
        </w:rPr>
        <w:t>większego</w:t>
      </w:r>
      <w:proofErr w:type="spellEnd"/>
      <w:r w:rsidRPr="003D13F1">
        <w:rPr>
          <w:lang w:val="en-GB"/>
        </w:rPr>
        <w:t xml:space="preserve"> </w:t>
      </w:r>
      <w:proofErr w:type="spellStart"/>
      <w:r w:rsidRPr="003D13F1">
        <w:rPr>
          <w:lang w:val="en-GB"/>
        </w:rPr>
        <w:t>wzrostu</w:t>
      </w:r>
      <w:proofErr w:type="spellEnd"/>
      <w:r w:rsidRPr="003D13F1">
        <w:rPr>
          <w:lang w:val="en-GB"/>
        </w:rPr>
        <w:t xml:space="preserve"> </w:t>
      </w:r>
      <w:proofErr w:type="spellStart"/>
      <w:r w:rsidRPr="003D13F1">
        <w:rPr>
          <w:lang w:val="en-GB"/>
        </w:rPr>
        <w:t>biasu</w:t>
      </w:r>
      <w:proofErr w:type="spellEnd"/>
      <w:r w:rsidRPr="003D13F1">
        <w:rPr>
          <w:lang w:val="en-GB"/>
        </w:rPr>
        <w:t>.</w:t>
      </w:r>
      <w:r w:rsidRPr="003D13F1">
        <w:rPr>
          <w:lang w:val="en-GB"/>
        </w:rPr>
        <w:tab/>
      </w:r>
    </w:p>
    <w:p w14:paraId="16EAB70D" w14:textId="358A48F8" w:rsidR="003D13F1" w:rsidRDefault="00DD5F74" w:rsidP="003D13F1">
      <w:pPr>
        <w:pStyle w:val="Nagwek1"/>
        <w:rPr>
          <w:rFonts w:eastAsiaTheme="minorHAnsi"/>
          <w:lang w:val="en-GB"/>
        </w:rPr>
      </w:pPr>
      <w:proofErr w:type="spellStart"/>
      <w:r>
        <w:rPr>
          <w:rFonts w:eastAsiaTheme="minorHAnsi"/>
          <w:lang w:val="en-GB"/>
        </w:rPr>
        <w:lastRenderedPageBreak/>
        <w:t>Automatyczny</w:t>
      </w:r>
      <w:proofErr w:type="spellEnd"/>
      <w:r>
        <w:rPr>
          <w:rFonts w:eastAsiaTheme="minorHAnsi"/>
          <w:lang w:val="en-GB"/>
        </w:rPr>
        <w:t xml:space="preserve"> </w:t>
      </w:r>
      <w:proofErr w:type="spellStart"/>
      <w:r>
        <w:rPr>
          <w:rFonts w:eastAsiaTheme="minorHAnsi"/>
          <w:lang w:val="en-GB"/>
        </w:rPr>
        <w:t>wybór</w:t>
      </w:r>
      <w:proofErr w:type="spellEnd"/>
      <w:r>
        <w:rPr>
          <w:rFonts w:eastAsiaTheme="minorHAnsi"/>
          <w:lang w:val="en-GB"/>
        </w:rPr>
        <w:t xml:space="preserve"> </w:t>
      </w:r>
      <w:proofErr w:type="spellStart"/>
      <w:r>
        <w:rPr>
          <w:rFonts w:eastAsiaTheme="minorHAnsi"/>
          <w:lang w:val="en-GB"/>
        </w:rPr>
        <w:t>modelu</w:t>
      </w:r>
      <w:proofErr w:type="spellEnd"/>
    </w:p>
    <w:p w14:paraId="41757F38" w14:textId="71339873" w:rsidR="00DD5F74" w:rsidRPr="00DD5F74" w:rsidRDefault="00DD5F74" w:rsidP="00DD5F74">
      <w:r w:rsidRPr="00DD5F74">
        <w:t>Zdecydowaliśmy się skorzystać z</w:t>
      </w:r>
      <w:r>
        <w:t xml:space="preserve"> biblioteki H20, która posiada wbudowaną automatyczną procedurę wyboru najlepszego modelu. W procesie przeszukiwania kluczowe są wartości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residual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>.  Wykonania pełnego przeszukiwania nie było jednak możliwe ze względu na ograniczenia sprzętowe.</w:t>
      </w:r>
    </w:p>
    <w:p w14:paraId="2BD0B71D" w14:textId="279BFECB" w:rsidR="00865DB2" w:rsidRDefault="00865DB2" w:rsidP="00865DB2">
      <w:pPr>
        <w:pStyle w:val="Nagwek1"/>
      </w:pPr>
      <w:r w:rsidRPr="00DD5F74">
        <w:t>Wyniki</w:t>
      </w:r>
    </w:p>
    <w:p w14:paraId="268A8571" w14:textId="146E8DAA" w:rsidR="00DD5F74" w:rsidRDefault="00DD5F74" w:rsidP="00DD5F74">
      <w:pPr>
        <w:pStyle w:val="Nagwek2"/>
      </w:pPr>
      <w:r>
        <w:t>Prognozy dla 1 miesięcznych zwrotów</w:t>
      </w:r>
    </w:p>
    <w:p w14:paraId="703D5D51" w14:textId="557048F3" w:rsidR="00EC44AB" w:rsidRDefault="00EC44AB" w:rsidP="00EC44AB">
      <w:pPr>
        <w:pStyle w:val="Nagwek3"/>
      </w:pPr>
    </w:p>
    <w:p w14:paraId="26481C50" w14:textId="15656D6E" w:rsidR="00EC44AB" w:rsidRPr="00EC44AB" w:rsidRDefault="00EC44AB" w:rsidP="00EC44AB">
      <w:pPr>
        <w:pStyle w:val="Nagwek3"/>
      </w:pPr>
      <w:r>
        <w:t>Wyniki na danych treningowych</w:t>
      </w:r>
    </w:p>
    <w:p w14:paraId="7A8CE511" w14:textId="5787728F" w:rsidR="00EC44AB" w:rsidRDefault="00EC44AB" w:rsidP="00EC44AB">
      <w:r>
        <w:rPr>
          <w:noProof/>
        </w:rPr>
        <w:drawing>
          <wp:inline distT="0" distB="0" distL="0" distR="0" wp14:anchorId="7FC1BB93" wp14:editId="4D54C988">
            <wp:extent cx="6141720" cy="1231392"/>
            <wp:effectExtent l="0" t="0" r="0" b="698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150" cy="124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2BF21" w14:textId="3772FA10" w:rsidR="00EC44AB" w:rsidRDefault="00EC44AB" w:rsidP="00EC44AB">
      <w:pPr>
        <w:pStyle w:val="Nagwek3"/>
      </w:pPr>
      <w:r>
        <w:t>Wyniki dla danych testowych</w:t>
      </w:r>
    </w:p>
    <w:p w14:paraId="708D3F2B" w14:textId="3D719BB7" w:rsidR="00EC44AB" w:rsidRPr="00EC44AB" w:rsidRDefault="00EC44AB" w:rsidP="00EC44AB">
      <w:r>
        <w:rPr>
          <w:noProof/>
        </w:rPr>
        <w:drawing>
          <wp:inline distT="0" distB="0" distL="0" distR="0" wp14:anchorId="69D671F9" wp14:editId="5B9F9D61">
            <wp:extent cx="6310224" cy="1255395"/>
            <wp:effectExtent l="0" t="0" r="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115" cy="126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E8F1" w14:textId="4A6F9B8A" w:rsidR="004A4E0F" w:rsidRDefault="004A4E0F" w:rsidP="004A4E0F">
      <w:pPr>
        <w:pStyle w:val="Nagwek2"/>
      </w:pPr>
      <w:r>
        <w:t>Prognozy</w:t>
      </w:r>
      <w:r w:rsidR="00DD5F74">
        <w:t xml:space="preserve"> dla</w:t>
      </w:r>
      <w:r>
        <w:t xml:space="preserve"> 3 miesięcznych zwrotów</w:t>
      </w:r>
    </w:p>
    <w:p w14:paraId="7DB11E6B" w14:textId="419523F0" w:rsidR="00D51A08" w:rsidRDefault="00D51A08" w:rsidP="00D51A08">
      <w:pPr>
        <w:pStyle w:val="Nagwek3"/>
      </w:pPr>
      <w:r>
        <w:t>Wyniki na danych treningowych</w:t>
      </w:r>
    </w:p>
    <w:p w14:paraId="119078AB" w14:textId="49727327" w:rsidR="00D51A08" w:rsidRPr="00D51A08" w:rsidRDefault="00D51A08" w:rsidP="00D51A08">
      <w:r>
        <w:rPr>
          <w:noProof/>
        </w:rPr>
        <w:drawing>
          <wp:inline distT="0" distB="0" distL="0" distR="0" wp14:anchorId="7BA1B6C4" wp14:editId="61536D66">
            <wp:extent cx="6316980" cy="1304544"/>
            <wp:effectExtent l="0" t="0" r="762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374" cy="1314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2550" w14:textId="28D7A35D" w:rsidR="00D51A08" w:rsidRDefault="00D51A08" w:rsidP="00D51A08">
      <w:pPr>
        <w:pStyle w:val="Nagwek3"/>
      </w:pPr>
      <w:r>
        <w:t>Wyniki dla danych testowych</w:t>
      </w:r>
      <w:r>
        <w:rPr>
          <w:noProof/>
        </w:rPr>
        <w:drawing>
          <wp:inline distT="0" distB="0" distL="0" distR="0" wp14:anchorId="4435D326" wp14:editId="06593F22">
            <wp:extent cx="6340475" cy="1225296"/>
            <wp:effectExtent l="0" t="0" r="317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588" cy="123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30079" w14:textId="77777777" w:rsidR="00D51A08" w:rsidRPr="00D51A08" w:rsidRDefault="00D51A08" w:rsidP="00D51A08"/>
    <w:p w14:paraId="6A519040" w14:textId="40A812C7" w:rsidR="00DD5F74" w:rsidRDefault="00DD5F74" w:rsidP="00DD5F74"/>
    <w:p w14:paraId="0AE53D1B" w14:textId="4F560C0E" w:rsidR="00DD5F74" w:rsidRDefault="00DD5F74" w:rsidP="00DD5F74">
      <w:pPr>
        <w:pStyle w:val="Nagwek2"/>
      </w:pPr>
      <w:r>
        <w:lastRenderedPageBreak/>
        <w:t>Prognozy dla 6 miesięcznych zwrotów</w:t>
      </w:r>
    </w:p>
    <w:p w14:paraId="55F486F6" w14:textId="770633F6" w:rsidR="002943B9" w:rsidRDefault="002943B9" w:rsidP="002943B9">
      <w:pPr>
        <w:pStyle w:val="Nagwek3"/>
      </w:pPr>
      <w:r>
        <w:t>Wyniki na danych treningowych</w:t>
      </w:r>
    </w:p>
    <w:p w14:paraId="44046625" w14:textId="3C980FFE" w:rsidR="002943B9" w:rsidRPr="002943B9" w:rsidRDefault="002943B9" w:rsidP="002943B9">
      <w:r>
        <w:rPr>
          <w:noProof/>
        </w:rPr>
        <w:drawing>
          <wp:inline distT="0" distB="0" distL="0" distR="0" wp14:anchorId="02D89263" wp14:editId="4192289D">
            <wp:extent cx="6386836" cy="1267968"/>
            <wp:effectExtent l="0" t="0" r="0" b="889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329" cy="1274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956B8" w14:textId="1F2CF8FC" w:rsidR="00D51A08" w:rsidRDefault="002943B9" w:rsidP="002943B9">
      <w:pPr>
        <w:pStyle w:val="Nagwek3"/>
      </w:pPr>
      <w:r>
        <w:t>Wyniki dla danych testowych</w:t>
      </w:r>
    </w:p>
    <w:p w14:paraId="1B58AF3F" w14:textId="3D911189" w:rsidR="002943B9" w:rsidRPr="002943B9" w:rsidRDefault="002943B9" w:rsidP="002943B9">
      <w:r>
        <w:rPr>
          <w:noProof/>
        </w:rPr>
        <w:drawing>
          <wp:inline distT="0" distB="0" distL="0" distR="0" wp14:anchorId="2B163D44" wp14:editId="2A79FC5A">
            <wp:extent cx="6393888" cy="1274064"/>
            <wp:effectExtent l="0" t="0" r="6985" b="254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718" cy="127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68295" w14:textId="77777777" w:rsidR="00D51A08" w:rsidRPr="00D51A08" w:rsidRDefault="00D51A08" w:rsidP="00D51A08"/>
    <w:p w14:paraId="03882DC4" w14:textId="3609E1C8" w:rsidR="00DD5F74" w:rsidRDefault="00DD5F74" w:rsidP="00DD5F74">
      <w:pPr>
        <w:pStyle w:val="Nagwek2"/>
      </w:pPr>
      <w:r>
        <w:t>Prognozy dla 12 miesięcznych zwrotów</w:t>
      </w:r>
    </w:p>
    <w:p w14:paraId="34277AF7" w14:textId="126B1C24" w:rsidR="00C337CB" w:rsidRDefault="00C337CB" w:rsidP="00C337CB">
      <w:pPr>
        <w:pStyle w:val="Nagwek3"/>
      </w:pPr>
      <w:r>
        <w:t>Wyniki dla danych treningowych</w:t>
      </w:r>
    </w:p>
    <w:p w14:paraId="322340A9" w14:textId="0A1BE161" w:rsidR="00C337CB" w:rsidRPr="00C337CB" w:rsidRDefault="00C337CB" w:rsidP="00C337CB">
      <w:r>
        <w:rPr>
          <w:noProof/>
        </w:rPr>
        <w:drawing>
          <wp:inline distT="0" distB="0" distL="0" distR="0" wp14:anchorId="0FC8A971" wp14:editId="22FDD50E">
            <wp:extent cx="6492240" cy="1432560"/>
            <wp:effectExtent l="0" t="0" r="381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085" cy="1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79F0" w14:textId="7EE339C5" w:rsidR="00C337CB" w:rsidRDefault="00C337CB" w:rsidP="00C337CB">
      <w:pPr>
        <w:pStyle w:val="Nagwek3"/>
      </w:pPr>
      <w:r>
        <w:t>Wyniki dla danych testowych</w:t>
      </w:r>
    </w:p>
    <w:p w14:paraId="6E2C49E7" w14:textId="640E47C3" w:rsidR="00C337CB" w:rsidRPr="00C337CB" w:rsidRDefault="00C337CB" w:rsidP="00C337CB">
      <w:r>
        <w:rPr>
          <w:noProof/>
        </w:rPr>
        <w:drawing>
          <wp:inline distT="0" distB="0" distL="0" distR="0" wp14:anchorId="3DB23729" wp14:editId="17CB9542">
            <wp:extent cx="6463424" cy="1328928"/>
            <wp:effectExtent l="0" t="0" r="0" b="508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718" cy="13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B3F1" w14:textId="77777777" w:rsidR="00C337CB" w:rsidRPr="00C337CB" w:rsidRDefault="00C337CB" w:rsidP="00C337CB"/>
    <w:p w14:paraId="58073653" w14:textId="7829B66D" w:rsidR="009F5D61" w:rsidRDefault="00DD5F74" w:rsidP="00DD5F74">
      <w:pPr>
        <w:pStyle w:val="Nagwek2"/>
      </w:pPr>
      <w:r>
        <w:t>Komentarz do wyników</w:t>
      </w:r>
    </w:p>
    <w:p w14:paraId="73486F4D" w14:textId="21F09941" w:rsidR="00C337CB" w:rsidRPr="00C337CB" w:rsidRDefault="00C337CB" w:rsidP="00C337CB">
      <w:pPr>
        <w:jc w:val="both"/>
      </w:pPr>
      <w:r>
        <w:t xml:space="preserve">Rezultaty modelów są generalnie rzecz biorąc na bardzo niskim poziomie. Wynika to przede wszystkim z niskiej korelacji pomiędzy ocenami ekspertów a zwrotami i może świadczyć o tym, że o wiele lepszego modelu nie da się opracować. Dodatkowo należy zauważyć, że prognozy dla okazywały się być tym lepsze im dłuższy był horyzont prognozy, przy czym wszystkie rezultaty na zbiorach testowych </w:t>
      </w:r>
      <w:r>
        <w:lastRenderedPageBreak/>
        <w:t>wskazują, że równie dobrze można by zgadywać. Modele nie prezentują żadnej użytecznej mocy predykcyjnej.</w:t>
      </w:r>
    </w:p>
    <w:p w14:paraId="713BA7D7" w14:textId="18A91152" w:rsidR="0022062B" w:rsidRPr="009F5D61" w:rsidRDefault="0022062B" w:rsidP="0022062B">
      <w:pPr>
        <w:jc w:val="center"/>
      </w:pPr>
      <w:r>
        <w:rPr>
          <w:noProof/>
        </w:rPr>
        <w:drawing>
          <wp:inline distT="0" distB="0" distL="0" distR="0" wp14:anchorId="0FAFAA15" wp14:editId="1D8E02F5">
            <wp:extent cx="6332673" cy="3268345"/>
            <wp:effectExtent l="0" t="0" r="0" b="825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405" cy="32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EFD74" w14:textId="77777777" w:rsidR="00865DB2" w:rsidRPr="00865DB2" w:rsidRDefault="00865DB2" w:rsidP="00865DB2"/>
    <w:sectPr w:rsidR="00865DB2" w:rsidRPr="00865D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B2"/>
    <w:rsid w:val="00066328"/>
    <w:rsid w:val="000C772F"/>
    <w:rsid w:val="0016507A"/>
    <w:rsid w:val="001E324C"/>
    <w:rsid w:val="0022062B"/>
    <w:rsid w:val="002943B9"/>
    <w:rsid w:val="002E7BB4"/>
    <w:rsid w:val="003D13F1"/>
    <w:rsid w:val="004A4E0F"/>
    <w:rsid w:val="004B2EEF"/>
    <w:rsid w:val="00536049"/>
    <w:rsid w:val="005950C5"/>
    <w:rsid w:val="005E7DEE"/>
    <w:rsid w:val="006C7849"/>
    <w:rsid w:val="006C7F02"/>
    <w:rsid w:val="007A1061"/>
    <w:rsid w:val="00844A6C"/>
    <w:rsid w:val="00865DB2"/>
    <w:rsid w:val="008D3D94"/>
    <w:rsid w:val="009A1F59"/>
    <w:rsid w:val="009F5D61"/>
    <w:rsid w:val="00A01A7B"/>
    <w:rsid w:val="00A63B8A"/>
    <w:rsid w:val="00AF2208"/>
    <w:rsid w:val="00BB256E"/>
    <w:rsid w:val="00C17E54"/>
    <w:rsid w:val="00C32A3D"/>
    <w:rsid w:val="00C337CB"/>
    <w:rsid w:val="00C34332"/>
    <w:rsid w:val="00D10089"/>
    <w:rsid w:val="00D51A08"/>
    <w:rsid w:val="00D525FC"/>
    <w:rsid w:val="00DD070E"/>
    <w:rsid w:val="00DD5F74"/>
    <w:rsid w:val="00E47752"/>
    <w:rsid w:val="00E93563"/>
    <w:rsid w:val="00EC44AB"/>
    <w:rsid w:val="00F540F1"/>
    <w:rsid w:val="00F763E1"/>
    <w:rsid w:val="00FA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23B1"/>
  <w15:chartTrackingRefBased/>
  <w15:docId w15:val="{442ED267-FE62-4100-9B56-2674C346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5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E7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C44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65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5E7D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F76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ojvnm2t">
    <w:name w:val="tojvnm2t"/>
    <w:basedOn w:val="Domylnaczcionkaakapitu"/>
    <w:rsid w:val="008D3D94"/>
  </w:style>
  <w:style w:type="character" w:styleId="Tekstzastpczy">
    <w:name w:val="Placeholder Text"/>
    <w:basedOn w:val="Domylnaczcionkaakapitu"/>
    <w:uiPriority w:val="99"/>
    <w:semiHidden/>
    <w:rsid w:val="008D3D94"/>
    <w:rPr>
      <w:color w:val="808080"/>
    </w:rPr>
  </w:style>
  <w:style w:type="character" w:customStyle="1" w:styleId="Nagwek3Znak">
    <w:name w:val="Nagłówek 3 Znak"/>
    <w:basedOn w:val="Domylnaczcionkaakapitu"/>
    <w:link w:val="Nagwek3"/>
    <w:uiPriority w:val="9"/>
    <w:rsid w:val="00EC44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10</Pages>
  <Words>1617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Ignasiak</dc:creator>
  <cp:keywords/>
  <dc:description/>
  <cp:lastModifiedBy>Krzysztof Ignasiak</cp:lastModifiedBy>
  <cp:revision>11</cp:revision>
  <dcterms:created xsi:type="dcterms:W3CDTF">2022-06-10T09:17:00Z</dcterms:created>
  <dcterms:modified xsi:type="dcterms:W3CDTF">2022-06-12T11:34:00Z</dcterms:modified>
</cp:coreProperties>
</file>