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  <w:tab/>
      </w:r>
      <w:r>
        <w:rPr>
          <w:sz w:val="16"/>
        </w:rPr>
        <w:t>Marzec</w:t>
      </w:r>
      <w:r>
        <w:rPr>
          <w:sz w:val="16"/>
        </w:rPr>
        <w:tab/>
        <w:tab/>
        <w:t xml:space="preserve">                  </w:t>
        <w:tab/>
        <w:tab/>
        <w:tab/>
        <w:t xml:space="preserve">2021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b/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Task #96920: [FrontEnd] Zmiana komunikatu dotycz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ącego godziny granicznej na formatce przelewów SEPA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#97030: [ASAP][RWD] Link "Poznaj podstawowe zasady bezpiecznej bankowości" prowadzi do starej strony EnveloBanku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#97045: [FIX] TSB-761199:RQ_SRS_388 [FN] BIM.PL.PR.ZW - Przelew zwykły: Blokada przelewów zwykłych na rachunki IRP i US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Task #96298: [Front] Podmiana adres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16"/>
                <w:u w:val="none"/>
                <w:em w:val="none"/>
              </w:rPr>
              <w:t>łąd #96729: [FIX] Błędne zachowanie walidacji pola kwota dla przelewu SEPA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16"/>
                <w:u w:val="none"/>
                <w:em w:val="none"/>
              </w:rPr>
              <w:t>łąd #97028: [FIX] Ostatnie transakcje z konta, którego nie widać w bankowości.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16"/>
                <w:u w:val="none"/>
                <w:em w:val="none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16"/>
                <w:u w:val="none"/>
                <w:em w:val="none"/>
              </w:rPr>
              <w:t>łąd #97031: [FIX][PROD][DEMO] Klieknięcie na moduł "Market" powoduje przekierowanie do eSklepu Poczty Polskiej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sz w:val="16"/>
                <w:szCs w:val="16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#95591: Przygotowanie środowiska pracy.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sz w:val="16"/>
                <w:szCs w:val="16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sz w:val="16"/>
                <w:szCs w:val="16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Błąd #97031: [FIX][PROD][DEMO] Klieknięcie na moduł "Market" powoduje przekierowanie do eSklepu Poczty Polskiej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Błąd #97043: [FIX] TSB - 18645 Zły status zdarzenia w Kalendarzu po jego opłaceniu.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#95591: Przygotowanie środowiska pracy.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#97003: [Frontend] Zamówienie Hasła do Telekonta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Błąd-TL #97211: Brak załadowanych ostatnich transakcji na Pulpicie.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Błąd #96729: [FIX] Błędne zachowanie walidacji pola kwota dla przelewu SEPA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#97003: [Frontend] Zamówienie Hasła do Telekonta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#97003: [Frontend] Zamówienie Hasła do Telekonta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#97471: automatyczny deployment na nexusa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#97471: automatyczny deployment na nexusa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Błąd-TL #97418: Błędne przekierowanie po kliknięciu 'Pobierz' w przeglądarce mobilnej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#97471: automatyczny deployment na nexusa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#97401: [FRONTEND] wydanie wersji na QA oraz INT do testów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#97471: automatyczny deployment na nexusa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 PROD #97302: Brak salda po transakcji przy operacji kartą w PayU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Błąd-TL #97343: Niepotrzebne pola w podsumowaniu przelewu podatkowego do ZUS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Błąd-TL #97344: Nieprawidłowa zmiana nazwy uzupełnianego pola na formatce przelewu podatkowego do innego organu podatkowego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#97398: [FRONTEND] Zapewnienie wydajności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 PROD #97454: Dodatkowe przekierowanie przy wylogowaniu z aplikacji RWD w przeglądarce na telefonie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 PROD #97507: W sieci banku błędne przekierowanie do https://nowy.pocztowy24.pl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#97398: [FRONTEND] Zapewnienie wydajności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 PROD #97507: W sieci banku błędne przekierowanie do https://nowy.pocztowy24.pl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Błąd-TL #97343: Niepotrzebne pola w podsumowaniu przelewu podatkowego do ZUS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#97398: [FRONTEND] Zapewnienie wydajności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Envelo Błąd PROD #97454: Dodatkowe przekierowanie przy wylogowaniu z aplikacji RWD w przeglądarce na telefonie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u w:val="none"/>
                <w:em w:val="none"/>
                <w:lang w:eastAsia="pl-PL"/>
              </w:rPr>
              <w:t>Task #97398: [FRONTEND] Zapewnienie wydajności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#97397: [Frontend] Zamówienie Hasła do Telekonta part 3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#97397: [Frontend] Zamówienie Hasła do Telekonta part 3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#97397: [Frontend] Zamówienie Hasła do Telekonta part 3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</w:pPr>
            <w:r>
              <w:rPr>
                <w:rFonts w:eastAsia="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16"/>
                <w:u w:val="none"/>
                <w:em w:val="none"/>
                <w:lang w:eastAsia="pl-PL"/>
              </w:rPr>
              <w:t>Task #97397: [Frontend] Zamówienie Hasła do Telekonta part 3</w:t>
            </w: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16"/>
                <w:lang w:eastAsia="pl-PL"/>
              </w:rPr>
              <w:t>Zadanie #95951: Analiza dokumentacji i kodu, spotkania</w:t>
            </w:r>
            <w:r>
              <w:rPr>
                <w:rFonts w:eastAsia="" w:eastAsiaTheme="minorEastAsia"/>
                <w:sz w:val="16"/>
                <w:szCs w:val="16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16"/>
                <w:lang w:eastAsia="pl-PL"/>
              </w:rPr>
              <w:t>Task #97397: [Frontend] Zamówienie Hasła do Telekonta part 3</w:t>
            </w:r>
            <w:r>
              <w:rPr>
                <w:rFonts w:eastAsia="" w:eastAsiaTheme="minorEastAsia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442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eastAsia="pl-PL"/>
              </w:rPr>
              <w:t>Envelo Błąd PROD #97658: [DEMO]Brak formatki, po kliknięciu 'Dodaj Środki'</w:t>
            </w:r>
            <w:r>
              <w:rPr>
                <w:rFonts w:eastAsia="" w:eastAsiaTheme="minorEastAsia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eastAsia="pl-PL"/>
              </w:rPr>
              <w:t>Envelo Błąd PROD #97659: [DEMO] W wersji desktopowej brak przycisku 'Przelej na cel'/ brak formatki</w:t>
            </w:r>
            <w:r>
              <w:rPr>
                <w:rFonts w:eastAsia="" w:eastAsiaTheme="minorEastAsia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eastAsia="pl-PL"/>
              </w:rPr>
              <w:t>Zadanie #95951: Analiza dokumentacji i kodu, spotkania</w:t>
            </w:r>
            <w:r>
              <w:rPr>
                <w:rFonts w:eastAsia="" w:eastAsiaTheme="minorEastAsia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eastAsia="pl-PL"/>
              </w:rPr>
              <w:t>Envelo Błąd-TL #97859: Zbyt mały odstęp między walutą a linkiem do limitu</w:t>
            </w:r>
            <w:r>
              <w:rPr>
                <w:rFonts w:eastAsia="" w:eastAsiaTheme="minorEastAsia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eastAsia="pl-PL"/>
              </w:rPr>
              <w:t>User Story #97967: Deployment demo z poziomu GitLaba</w:t>
            </w:r>
            <w:r>
              <w:rPr>
                <w:rFonts w:eastAsia="" w:eastAsiaTheme="minorEastAsia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ascii="Arial" w:hAnsi="Arial" w:eastAsiaTheme="minorEastAsia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16"/>
                <w:lang w:eastAsia="pl-PL"/>
              </w:rPr>
              <w:t>User Story #97967: Deployment demo z poziomu GitLaba</w:t>
            </w:r>
            <w:r>
              <w:rPr>
                <w:rFonts w:eastAsia="" w:eastAsiaTheme="minorEastAsia"/>
                <w:sz w:val="16"/>
                <w:szCs w:val="16"/>
                <w:lang w:eastAsia="pl-PL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ascii="Arial" w:hAnsi="Arial" w:eastAsiaTheme="minorEastAsia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16"/>
                <w:lang w:eastAsia="pl-PL"/>
              </w:rPr>
              <w:t>Zadanie #95951: Analiza dokumentacji i kodu, spotkania</w:t>
            </w:r>
            <w:r>
              <w:rPr>
                <w:rFonts w:eastAsia="" w:eastAsiaTheme="minorEastAsia"/>
                <w:sz w:val="16"/>
                <w:szCs w:val="16"/>
                <w:lang w:eastAsia="pl-PL"/>
              </w:rPr>
              <w:t xml:space="preserve">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  <w:t>2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LibreOffice/6.0.4.2$Windows_x86 LibreOffice_project/9b0d9b32d5dcda91d2f1a96dc04c645c450872bf</Application>
  <Pages>5</Pages>
  <Words>701</Words>
  <Characters>4376</Characters>
  <CharactersWithSpaces>5245</CharactersWithSpaces>
  <Paragraphs>194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2021-03-31T10:20:28Z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