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<w:tc>
          <w:tcPr>
            <w:gridSpan w:val="5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 2</w:t>
            </w:r>
          </w:p>
        </w:tc>
      </w:tr>
      <w:tr>
        <w:trPr>
          <w:trHeight w:val="629" w:hRule="auto"/>
          <w:tblHeader/>
        </w:trPr>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Wyniki metody Fuzzy VIKOR</w:t>
            </w:r>
          </w:p>
        </w:tc>
      </w:tr>
      <w:tr>
        <w:trPr>
          <w:trHeight w:val="629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 (grupa)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 (zal)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 (kompromis)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Ranking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</w:tr>
      <w:tr>
        <w:trPr>
          <w:trHeight w:val="576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Uwaga. S oznacza uzytecznosc grupy, R indywidualny zal, a Q indeks kompromisu. Nizsza wartosc Q wskazuje lepsza alternatywe.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2026-06-17T00:51:50Z</dcterms:modified>
  <cp:category/>
</cp:coreProperties>
</file>