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6" w:hRule="auto"/>
          <w:tblHeader/>
        </w:trPr>
        <w:tc>
          <w:tcPr>
            <w:gridSpan w:val="5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Tabela 2</w:t>
            </w:r>
          </w:p>
        </w:tc>
      </w:tr>
      <w:tr>
        <w:trPr>
          <w:trHeight w:val="629" w:hRule="auto"/>
          <w:tblHeader/>
        </w:trPr>
        <w:tc>
          <w:tcPr>
            <w:gridSpan w:val="5"/>
            <w:tcBorders>
              <w:bottom w:val="single" w:sz="4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Wyniki metody Fuzzy VIKOR</w:t>
            </w:r>
          </w:p>
        </w:tc>
      </w:tr>
      <w:tr>
        <w:trPr>
          <w:trHeight w:val="629" w:hRule="auto"/>
          <w:tblHeader/>
        </w:trPr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Alternatywa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 (grupa)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 (zal)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Q (kompromis)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Ranking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</w:t>
            </w:r>
          </w:p>
        </w:tc>
      </w:tr>
      <w:tr>
        <w:trPr>
          <w:trHeight w:val="57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576" w:hRule="auto"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Note.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Uwaga. S oznacza uzytecznosc grupy, R indywidualny zal, a Q indeks kompromisu. Nizsza wartosc Q wskazuje lepsza alternatywe.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2026-06-17T00:48:46Z</dcterms:modified>
  <cp:category/>
</cp:coreProperties>
</file>