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sz w:val="56"/>
          <w:szCs w:val="56"/>
        </w:rPr>
        <w:t xml:space="preserve">👥</w:t>
      </w:r>
    </w:p>
    <w:p>
      <w:pPr>
        <w:spacing w:after="100" w:before="0"/>
        <w:jc w:val="center"/>
      </w:pPr>
      <w:r>
        <w:rPr>
          <w:rFonts w:ascii="Arial" w:cs="Arial" w:eastAsia="Arial" w:hAnsi="Arial"/>
          <w:b/>
          <w:bCs/>
          <w:color w:val="7C3AED"/>
          <w:sz w:val="44"/>
          <w:szCs w:val="44"/>
        </w:rPr>
        <w:t xml:space="preserve">HR Analytics</w:t>
      </w:r>
    </w:p>
    <w:p>
      <w:pPr>
        <w:spacing w:after="40" w:before="0"/>
        <w:jc w:val="center"/>
      </w:pPr>
      <w:r>
        <w:rPr>
          <w:rFonts w:ascii="Arial" w:cs="Arial" w:eastAsia="Arial" w:hAnsi="Arial"/>
          <w:i/>
          <w:iCs/>
          <w:color w:val="64748B"/>
          <w:sz w:val="28"/>
          <w:szCs w:val="28"/>
        </w:rPr>
        <w:t xml:space="preserve">Employee Attrition Prediction &amp; Workforce Insights</w:t>
      </w:r>
    </w:p>
    <w:p>
      <w:pPr>
        <w:spacing w:after="320" w:before="0"/>
        <w:jc w:val="center"/>
      </w:pPr>
      <w:r>
        <w:rPr>
          <w:rFonts w:ascii="Arial" w:cs="Arial" w:eastAsia="Arial" w:hAnsi="Arial"/>
          <w:color w:val="64748B"/>
          <w:sz w:val="20"/>
          <w:szCs w:val="20"/>
        </w:rPr>
        <w:t xml:space="preserve">Business Analytics Portfolio  |  Google Colab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F5F3FF"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DOMAIN</w:t>
            </w:r>
          </w:p>
          <w:p>
            <w:pPr>
              <w:jc w:val="center"/>
            </w:pPr>
            <w:r>
              <w:rPr>
                <w:rFonts w:ascii="Arial" w:cs="Arial" w:eastAsia="Arial" w:hAnsi="Arial"/>
                <w:b/>
                <w:bCs/>
                <w:color w:val="1E293B"/>
                <w:sz w:val="22"/>
                <w:szCs w:val="22"/>
              </w:rPr>
              <w:t xml:space="preserve">HR Analytics</w:t>
            </w:r>
          </w:p>
        </w:tc>
        <w:tc>
          <w:tcPr>
            <w:tcW w:type="dxa" w:w="2340"/>
            <w:tcBorders>
              <w:top w:val="single" w:color="E2E8F0" w:sz="1"/>
              <w:left w:val="single" w:color="E2E8F0" w:sz="1"/>
              <w:bottom w:val="single" w:color="E2E8F0" w:sz="1"/>
              <w:right w:val="single" w:color="E2E8F0" w:sz="1"/>
            </w:tcBorders>
            <w:shd w:fill="F5F3FF"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DIFFICULTY</w:t>
            </w:r>
          </w:p>
          <w:p>
            <w:pPr>
              <w:jc w:val="center"/>
            </w:pPr>
            <w:r>
              <w:rPr>
                <w:rFonts w:ascii="Arial" w:cs="Arial" w:eastAsia="Arial" w:hAnsi="Arial"/>
                <w:b/>
                <w:bCs/>
                <w:color w:val="1E293B"/>
                <w:sz w:val="22"/>
                <w:szCs w:val="22"/>
              </w:rPr>
              <w:t xml:space="preserve">Intermediate</w:t>
            </w:r>
          </w:p>
        </w:tc>
        <w:tc>
          <w:tcPr>
            <w:tcW w:type="dxa" w:w="2340"/>
            <w:tcBorders>
              <w:top w:val="single" w:color="E2E8F0" w:sz="1"/>
              <w:left w:val="single" w:color="E2E8F0" w:sz="1"/>
              <w:bottom w:val="single" w:color="E2E8F0" w:sz="1"/>
              <w:right w:val="single" w:color="E2E8F0" w:sz="1"/>
            </w:tcBorders>
            <w:shd w:fill="F5F3FF"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RUNTIME</w:t>
            </w:r>
          </w:p>
          <w:p>
            <w:pPr>
              <w:jc w:val="center"/>
            </w:pPr>
            <w:r>
              <w:rPr>
                <w:rFonts w:ascii="Arial" w:cs="Arial" w:eastAsia="Arial" w:hAnsi="Arial"/>
                <w:b/>
                <w:bCs/>
                <w:color w:val="1E293B"/>
                <w:sz w:val="22"/>
                <w:szCs w:val="22"/>
              </w:rPr>
              <w:t xml:space="preserve">~7 Minutes</w:t>
            </w:r>
          </w:p>
        </w:tc>
        <w:tc>
          <w:tcPr>
            <w:tcW w:type="dxa" w:w="2340"/>
            <w:tcBorders>
              <w:top w:val="single" w:color="E2E8F0" w:sz="1"/>
              <w:left w:val="single" w:color="E2E8F0" w:sz="1"/>
              <w:bottom w:val="single" w:color="E2E8F0" w:sz="1"/>
              <w:right w:val="single" w:color="E2E8F0" w:sz="1"/>
            </w:tcBorders>
            <w:shd w:fill="F5F3FF"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MODELS</w:t>
            </w:r>
          </w:p>
          <w:p>
            <w:pPr>
              <w:jc w:val="center"/>
            </w:pPr>
            <w:r>
              <w:rPr>
                <w:rFonts w:ascii="Arial" w:cs="Arial" w:eastAsia="Arial" w:hAnsi="Arial"/>
                <w:b/>
                <w:bCs/>
                <w:color w:val="1E293B"/>
                <w:sz w:val="22"/>
                <w:szCs w:val="22"/>
              </w:rPr>
              <w:t xml:space="preserve">LR / RF / XGBoost</w:t>
            </w:r>
          </w:p>
        </w:tc>
      </w:tr>
    </w:tbl>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Project Overview</w:t>
      </w:r>
    </w:p>
    <w:p>
      <w:pPr>
        <w:spacing w:after="60" w:before="60"/>
      </w:pPr>
      <w:r>
        <w:rPr>
          <w:rFonts w:ascii="Arial" w:cs="Arial" w:eastAsia="Arial" w:hAnsi="Arial"/>
          <w:color w:val="1E293B"/>
          <w:sz w:val="22"/>
          <w:szCs w:val="22"/>
        </w:rPr>
        <w:t xml:space="preserve">Employee attrition is one of the most costly HR challenges — replacing a single employee can cost 1.5× their annual salary. This notebook builds a machine learning pipeline to predict which employees are most likely to leave, explains the key drivers using SHAP, and generates an individual risk score for every employee to guide proactive retention strategy.</w:t>
      </w:r>
    </w:p>
    <w:p>
      <w:pPr>
        <w:spacing w:after="80" w:before="80"/>
      </w:pPr>
      <w:r>
        <w:t xml:space="preserve"/>
      </w:r>
    </w:p>
    <w:p>
      <w:pPr>
        <w:pStyle w:val="Heading2"/>
        <w:spacing w:after="120" w:before="240"/>
      </w:pPr>
      <w:r>
        <w:rPr>
          <w:rFonts w:ascii="Arial" w:cs="Arial" w:eastAsia="Arial" w:hAnsi="Arial"/>
          <w:b/>
          <w:bCs/>
          <w:color w:val="1E293B"/>
          <w:sz w:val="26"/>
          <w:szCs w:val="26"/>
        </w:rPr>
        <w:t xml:space="preserve">What You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pPr>
              <w:spacing w:after="100" w:before="0"/>
            </w:pPr>
            <w:r>
              <w:rPr>
                <w:rFonts w:ascii="Arial" w:cs="Arial" w:eastAsia="Arial" w:hAnsi="Arial"/>
                <w:b/>
                <w:bCs/>
                <w:color w:val="7C3AED"/>
                <w:sz w:val="24"/>
                <w:szCs w:val="24"/>
              </w:rPr>
              <w:t xml:space="preserve">Deliverables</w:t>
            </w:r>
          </w:p>
          <w:p>
            <w:pPr>
              <w:pStyle w:val="ListParagraph"/>
              <w:numPr>
                <w:ilvl w:val="0"/>
                <w:numId w:val="2"/>
              </w:numPr>
              <w:spacing w:after="40" w:before="40"/>
            </w:pPr>
            <w:r>
              <w:rPr>
                <w:rFonts w:ascii="Arial" w:cs="Arial" w:eastAsia="Arial" w:hAnsi="Arial"/>
                <w:color w:val="1E293B"/>
                <w:sz w:val="22"/>
                <w:szCs w:val="22"/>
              </w:rPr>
              <w:t xml:space="preserve">HR Dataset — 1,500 employees with 25+ realistic features including satisfaction, overtime, income, and tenure</w:t>
            </w:r>
          </w:p>
          <w:p>
            <w:pPr>
              <w:pStyle w:val="ListParagraph"/>
              <w:numPr>
                <w:ilvl w:val="0"/>
                <w:numId w:val="2"/>
              </w:numPr>
              <w:spacing w:after="40" w:before="40"/>
            </w:pPr>
            <w:r>
              <w:rPr>
                <w:rFonts w:ascii="Arial" w:cs="Arial" w:eastAsia="Arial" w:hAnsi="Arial"/>
                <w:color w:val="1E293B"/>
                <w:sz w:val="22"/>
                <w:szCs w:val="22"/>
              </w:rPr>
              <w:t xml:space="preserve">EDA Dashboard — 6-panel chart covering department attrition, age, overtime, salary, satisfaction heatmap, and tenure bands</w:t>
            </w:r>
          </w:p>
          <w:p>
            <w:pPr>
              <w:pStyle w:val="ListParagraph"/>
              <w:numPr>
                <w:ilvl w:val="0"/>
                <w:numId w:val="2"/>
              </w:numPr>
              <w:spacing w:after="40" w:before="40"/>
            </w:pPr>
            <w:r>
              <w:rPr>
                <w:rFonts w:ascii="Arial" w:cs="Arial" w:eastAsia="Arial" w:hAnsi="Arial"/>
                <w:color w:val="1E293B"/>
                <w:sz w:val="22"/>
                <w:szCs w:val="22"/>
              </w:rPr>
              <w:t xml:space="preserve">3 Trained Models — Logistic Regression, Random Forest, XGBoost with SMOTE to handle class imbalance</w:t>
            </w:r>
          </w:p>
          <w:p>
            <w:pPr>
              <w:pStyle w:val="ListParagraph"/>
              <w:numPr>
                <w:ilvl w:val="0"/>
                <w:numId w:val="2"/>
              </w:numPr>
              <w:spacing w:after="40" w:before="40"/>
            </w:pPr>
            <w:r>
              <w:rPr>
                <w:rFonts w:ascii="Arial" w:cs="Arial" w:eastAsia="Arial" w:hAnsi="Arial"/>
                <w:color w:val="1E293B"/>
                <w:sz w:val="22"/>
                <w:szCs w:val="22"/>
              </w:rPr>
              <w:t xml:space="preserve">Model Comparison Table — Accuracy, Precision, Recall, F1, and AUC-ROC side by side</w:t>
            </w:r>
          </w:p>
          <w:p>
            <w:pPr>
              <w:pStyle w:val="ListParagraph"/>
              <w:numPr>
                <w:ilvl w:val="0"/>
                <w:numId w:val="2"/>
              </w:numPr>
              <w:spacing w:after="40" w:before="40"/>
            </w:pPr>
            <w:r>
              <w:rPr>
                <w:rFonts w:ascii="Arial" w:cs="Arial" w:eastAsia="Arial" w:hAnsi="Arial"/>
                <w:color w:val="1E293B"/>
                <w:sz w:val="22"/>
                <w:szCs w:val="22"/>
              </w:rPr>
              <w:t xml:space="preserve">SHAP Explainability — Bar and beeswarm plots showing which features drive attrition and in which direction</w:t>
            </w:r>
          </w:p>
          <w:p>
            <w:pPr>
              <w:pStyle w:val="ListParagraph"/>
              <w:numPr>
                <w:ilvl w:val="0"/>
                <w:numId w:val="2"/>
              </w:numPr>
              <w:spacing w:after="40" w:before="40"/>
            </w:pPr>
            <w:r>
              <w:rPr>
                <w:rFonts w:ascii="Arial" w:cs="Arial" w:eastAsia="Arial" w:hAnsi="Arial"/>
                <w:color w:val="1E293B"/>
                <w:sz w:val="22"/>
                <w:szCs w:val="22"/>
              </w:rPr>
              <w:t xml:space="preserve">Risk Score CSV — Every employee scored with attrition probability and risk band (High / Medium / Low)</w:t>
            </w:r>
          </w:p>
          <w:p>
            <w:pPr>
              <w:pStyle w:val="ListParagraph"/>
              <w:numPr>
                <w:ilvl w:val="0"/>
                <w:numId w:val="2"/>
              </w:numPr>
              <w:spacing w:after="40" w:before="40"/>
            </w:pPr>
            <w:r>
              <w:rPr>
                <w:rFonts w:ascii="Arial" w:cs="Arial" w:eastAsia="Arial" w:hAnsi="Arial"/>
                <w:color w:val="1E293B"/>
                <w:sz w:val="22"/>
                <w:szCs w:val="22"/>
              </w:rPr>
              <w:t xml:space="preserve">Cost of Attrition Estimate — Projected financial impact if high-risk employees leave</w:t>
            </w:r>
          </w:p>
        </w:tc>
      </w:tr>
    </w:tbl>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Notebook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Section 1</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Setup — Install SHAP, XGBoost, Imbalanced-learn, and Plotly</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Section 2</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Data Generation — 1,500 employees; attrition probability built from real HR drivers using logistic function</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Section 3</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EDA — 6-panel dashboard exploring all major attrition signals</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Section 4</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Feature Engineering — Encode categoricals, create Income_Per_Year, Promotion_Gap, Satisfaction_Avg</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Section 5</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Preprocessing — Train/test split, SMOTE oversampling, StandardScaler</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Section 6</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Model Training — Fit LR, Random Forest, XGBoost; compute 5 evaluation metrics each</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Section 7</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SHAP Analysis — TreeExplainer on XGBoost; summary bar + beeswarm direction plots</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Section 8</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Risk Scoring — Score all employees; print retention strategies and cost-of-attrition estimate</w:t>
            </w:r>
          </w:p>
        </w:tc>
      </w:tr>
    </w:tbl>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Data</w:t>
            </w:r>
          </w:p>
          <w:p>
            <w:pPr>
              <w:jc w:val="center"/>
            </w:pPr>
            <w:r>
              <w:rPr>
                <w:rFonts w:ascii="Arial" w:cs="Arial" w:eastAsia="Arial" w:hAnsi="Arial"/>
                <w:b/>
                <w:bCs/>
                <w:color w:val="1E293B"/>
                <w:sz w:val="22"/>
                <w:szCs w:val="22"/>
              </w:rPr>
              <w:t xml:space="preserve">Pandas / NumPy</w:t>
            </w:r>
          </w:p>
        </w:tc>
        <w:tc>
          <w:tcPr>
            <w:tcW w:type="dxa" w:w="2340"/>
            <w:tcBorders>
              <w:top w:val="single" w:color="E2E8F0" w:sz="1"/>
              <w:left w:val="single" w:color="E2E8F0" w:sz="1"/>
              <w:bottom w:val="single" w:color="E2E8F0" w:sz="1"/>
              <w:right w:val="single" w:color="E2E8F0" w:sz="1"/>
            </w:tcBorders>
            <w:shd w:fill="F0FDF4"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ML</w:t>
            </w:r>
          </w:p>
          <w:p>
            <w:pPr>
              <w:jc w:val="center"/>
            </w:pPr>
            <w:r>
              <w:rPr>
                <w:rFonts w:ascii="Arial" w:cs="Arial" w:eastAsia="Arial" w:hAnsi="Arial"/>
                <w:b/>
                <w:bCs/>
                <w:color w:val="1E293B"/>
                <w:sz w:val="22"/>
                <w:szCs w:val="22"/>
              </w:rPr>
              <w:t xml:space="preserve">Scikit-learn / XGBoost</w:t>
            </w:r>
          </w:p>
        </w:tc>
        <w:tc>
          <w:tcPr>
            <w:tcW w:type="dxa" w:w="2340"/>
            <w:tcBorders>
              <w:top w:val="single" w:color="E2E8F0" w:sz="1"/>
              <w:left w:val="single" w:color="E2E8F0" w:sz="1"/>
              <w:bottom w:val="single" w:color="E2E8F0" w:sz="1"/>
              <w:right w:val="single" w:color="E2E8F0" w:sz="1"/>
            </w:tcBorders>
            <w:shd w:fill="F5F3FF"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Explainability</w:t>
            </w:r>
          </w:p>
          <w:p>
            <w:pPr>
              <w:jc w:val="center"/>
            </w:pPr>
            <w:r>
              <w:rPr>
                <w:rFonts w:ascii="Arial" w:cs="Arial" w:eastAsia="Arial" w:hAnsi="Arial"/>
                <w:b/>
                <w:bCs/>
                <w:color w:val="1E293B"/>
                <w:sz w:val="22"/>
                <w:szCs w:val="22"/>
              </w:rPr>
              <w:t xml:space="preserve">SHAP</w:t>
            </w:r>
          </w:p>
        </w:tc>
        <w:tc>
          <w:tcPr>
            <w:tcW w:type="dxa" w:w="2340"/>
            <w:tcBorders>
              <w:top w:val="single" w:color="E2E8F0" w:sz="1"/>
              <w:left w:val="single" w:color="E2E8F0" w:sz="1"/>
              <w:bottom w:val="single" w:color="E2E8F0" w:sz="1"/>
              <w:right w:val="single" w:color="E2E8F0" w:sz="1"/>
            </w:tcBorders>
            <w:shd w:fill="FEF9C3" w:val="clear"/>
            <w:tcMar>
              <w:top w:type="dxa" w:w="120"/>
              <w:left w:type="dxa" w:w="160"/>
              <w:bottom w:type="dxa" w:w="120"/>
              <w:right w:type="dxa" w:w="160"/>
            </w:tcMar>
          </w:tcPr>
          <w:p>
            <w:pPr>
              <w:spacing w:after="40" w:before="0"/>
              <w:jc w:val="center"/>
            </w:pPr>
            <w:r>
              <w:rPr>
                <w:rFonts w:ascii="Arial" w:cs="Arial" w:eastAsia="Arial" w:hAnsi="Arial"/>
                <w:b/>
                <w:bCs/>
                <w:color w:val="64748B"/>
                <w:sz w:val="18"/>
                <w:szCs w:val="18"/>
              </w:rPr>
              <w:t xml:space="preserve">Balancing</w:t>
            </w:r>
          </w:p>
          <w:p>
            <w:pPr>
              <w:jc w:val="center"/>
            </w:pPr>
            <w:r>
              <w:rPr>
                <w:rFonts w:ascii="Arial" w:cs="Arial" w:eastAsia="Arial" w:hAnsi="Arial"/>
                <w:b/>
                <w:bCs/>
                <w:color w:val="1E293B"/>
                <w:sz w:val="22"/>
                <w:szCs w:val="22"/>
              </w:rPr>
              <w:t xml:space="preserve">SMOTE (imblearn)</w:t>
            </w:r>
          </w:p>
        </w:tc>
      </w:tr>
    </w:tbl>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Key Concepts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pPr>
              <w:spacing w:after="100" w:before="0"/>
            </w:pPr>
            <w:r>
              <w:rPr>
                <w:rFonts w:ascii="Arial" w:cs="Arial" w:eastAsia="Arial" w:hAnsi="Arial"/>
                <w:b/>
                <w:bCs/>
                <w:color w:val="7C3AED"/>
                <w:sz w:val="24"/>
                <w:szCs w:val="24"/>
              </w:rPr>
              <w:t xml:space="preserve">ML &amp; HR Concepts</w:t>
            </w:r>
          </w:p>
          <w:p>
            <w:pPr>
              <w:pStyle w:val="ListParagraph"/>
              <w:numPr>
                <w:ilvl w:val="0"/>
                <w:numId w:val="2"/>
              </w:numPr>
              <w:spacing w:after="40" w:before="40"/>
            </w:pPr>
            <w:r>
              <w:rPr>
                <w:rFonts w:ascii="Arial" w:cs="Arial" w:eastAsia="Arial" w:hAnsi="Arial"/>
                <w:color w:val="1E293B"/>
                <w:sz w:val="22"/>
                <w:szCs w:val="22"/>
              </w:rPr>
              <w:t xml:space="preserve">Class Imbalance — Attrition datasets are skewed (15–25% positive class); SMOTE generates synthetic minority samples to balance training</w:t>
            </w:r>
          </w:p>
          <w:p>
            <w:pPr>
              <w:pStyle w:val="ListParagraph"/>
              <w:numPr>
                <w:ilvl w:val="0"/>
                <w:numId w:val="2"/>
              </w:numPr>
              <w:spacing w:after="40" w:before="40"/>
            </w:pPr>
            <w:r>
              <w:rPr>
                <w:rFonts w:ascii="Arial" w:cs="Arial" w:eastAsia="Arial" w:hAnsi="Arial"/>
                <w:color w:val="1E293B"/>
                <w:sz w:val="22"/>
                <w:szCs w:val="22"/>
              </w:rPr>
              <w:t xml:space="preserve">Logistic Regression — Probabilistic baseline model with interpretable coefficients for attrition likelihood</w:t>
            </w:r>
          </w:p>
          <w:p>
            <w:pPr>
              <w:pStyle w:val="ListParagraph"/>
              <w:numPr>
                <w:ilvl w:val="0"/>
                <w:numId w:val="2"/>
              </w:numPr>
              <w:spacing w:after="40" w:before="40"/>
            </w:pPr>
            <w:r>
              <w:rPr>
                <w:rFonts w:ascii="Arial" w:cs="Arial" w:eastAsia="Arial" w:hAnsi="Arial"/>
                <w:color w:val="1E293B"/>
                <w:sz w:val="22"/>
                <w:szCs w:val="22"/>
              </w:rPr>
              <w:t xml:space="preserve">Random Forest — Ensemble of decision trees; robust to outliers and naturally ranks feature importance</w:t>
            </w:r>
          </w:p>
          <w:p>
            <w:pPr>
              <w:pStyle w:val="ListParagraph"/>
              <w:numPr>
                <w:ilvl w:val="0"/>
                <w:numId w:val="2"/>
              </w:numPr>
              <w:spacing w:after="40" w:before="40"/>
            </w:pPr>
            <w:r>
              <w:rPr>
                <w:rFonts w:ascii="Arial" w:cs="Arial" w:eastAsia="Arial" w:hAnsi="Arial"/>
                <w:color w:val="1E293B"/>
                <w:sz w:val="22"/>
                <w:szCs w:val="22"/>
              </w:rPr>
              <w:t xml:space="preserve">XGBoost — Gradient boosting model; often the top performer on tabular HR data</w:t>
            </w:r>
          </w:p>
          <w:p>
            <w:pPr>
              <w:pStyle w:val="ListParagraph"/>
              <w:numPr>
                <w:ilvl w:val="0"/>
                <w:numId w:val="2"/>
              </w:numPr>
              <w:spacing w:after="40" w:before="40"/>
            </w:pPr>
            <w:r>
              <w:rPr>
                <w:rFonts w:ascii="Arial" w:cs="Arial" w:eastAsia="Arial" w:hAnsi="Arial"/>
                <w:color w:val="1E293B"/>
                <w:sz w:val="22"/>
                <w:szCs w:val="22"/>
              </w:rPr>
              <w:t xml:space="preserve">AUC-ROC — Area Under the ROC Curve; the primary metric for imbalanced classification tasks</w:t>
            </w:r>
          </w:p>
          <w:p>
            <w:pPr>
              <w:pStyle w:val="ListParagraph"/>
              <w:numPr>
                <w:ilvl w:val="0"/>
                <w:numId w:val="2"/>
              </w:numPr>
              <w:spacing w:after="40" w:before="40"/>
            </w:pPr>
            <w:r>
              <w:rPr>
                <w:rFonts w:ascii="Arial" w:cs="Arial" w:eastAsia="Arial" w:hAnsi="Arial"/>
                <w:color w:val="1E293B"/>
                <w:sz w:val="22"/>
                <w:szCs w:val="22"/>
              </w:rPr>
              <w:t xml:space="preserve">SHAP (SHapley Additive exPlanations) — Assigns each feature a contribution score per prediction; makes black-box models explainable</w:t>
            </w:r>
          </w:p>
          <w:p>
            <w:pPr>
              <w:pStyle w:val="ListParagraph"/>
              <w:numPr>
                <w:ilvl w:val="0"/>
                <w:numId w:val="2"/>
              </w:numPr>
              <w:spacing w:after="40" w:before="40"/>
            </w:pPr>
            <w:r>
              <w:rPr>
                <w:rFonts w:ascii="Arial" w:cs="Arial" w:eastAsia="Arial" w:hAnsi="Arial"/>
                <w:color w:val="1E293B"/>
                <w:sz w:val="22"/>
                <w:szCs w:val="22"/>
              </w:rPr>
              <w:t xml:space="preserve">Attrition Cost Modelling — Quantifying the financial risk of inaction; typically 1.5× annual salary per lost employee</w:t>
            </w:r>
          </w:p>
        </w:tc>
      </w:tr>
    </w:tbl>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Key Attrition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Monthly Income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Lower salary significantly increases attrition probability</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OverTime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Employees working overtime are 2–3× more likely to leave</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Job Satisfaction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Low satisfaction (score 1–2) is among the strongest churn signals</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Years at Company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Attrition is highest in the first 2 years (on-boarding risk)</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Work-Life Balance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Poor balance compounds with overtime to create extreme attrition risk</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Years Since Promotion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Long gaps without promotion increase likelihood of external job search</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Distance From Home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Longer commutes correlate with increased attrition probability</w:t>
            </w:r>
          </w:p>
        </w:tc>
      </w:tr>
    </w:tbl>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How to Run on Google Colab</w:t>
      </w:r>
    </w:p>
    <w:p>
      <w:pPr>
        <w:pStyle w:val="ListParagraph"/>
        <w:numPr>
          <w:ilvl w:val="0"/>
          <w:numId w:val="3"/>
        </w:numPr>
        <w:spacing w:after="60" w:before="60"/>
      </w:pPr>
      <w:r>
        <w:rPr>
          <w:rFonts w:ascii="Arial" w:cs="Arial" w:eastAsia="Arial" w:hAnsi="Arial"/>
          <w:color w:val="1E293B"/>
          <w:sz w:val="22"/>
          <w:szCs w:val="22"/>
        </w:rPr>
        <w:t xml:space="preserve">Open Google Colab at colab.research.google.com</w:t>
      </w:r>
    </w:p>
    <w:p>
      <w:pPr>
        <w:pStyle w:val="ListParagraph"/>
        <w:numPr>
          <w:ilvl w:val="0"/>
          <w:numId w:val="3"/>
        </w:numPr>
        <w:spacing w:after="60" w:before="60"/>
      </w:pPr>
      <w:r>
        <w:rPr>
          <w:rFonts w:ascii="Arial" w:cs="Arial" w:eastAsia="Arial" w:hAnsi="Arial"/>
          <w:color w:val="1E293B"/>
          <w:sz w:val="22"/>
          <w:szCs w:val="22"/>
        </w:rPr>
        <w:t xml:space="preserve">Upload: hr_attrition_prediction.ipynb</w:t>
      </w:r>
    </w:p>
    <w:p>
      <w:pPr>
        <w:pStyle w:val="ListParagraph"/>
        <w:numPr>
          <w:ilvl w:val="0"/>
          <w:numId w:val="3"/>
        </w:numPr>
        <w:spacing w:after="60" w:before="60"/>
      </w:pPr>
      <w:r>
        <w:rPr>
          <w:rFonts w:ascii="Arial" w:cs="Arial" w:eastAsia="Arial" w:hAnsi="Arial"/>
          <w:color w:val="1E293B"/>
          <w:sz w:val="22"/>
          <w:szCs w:val="22"/>
        </w:rPr>
        <w:t xml:space="preserve">Click Runtime → Run All (XGBoost + SHAP may take 2–3 minutes)</w:t>
      </w:r>
    </w:p>
    <w:p>
      <w:pPr>
        <w:pStyle w:val="ListParagraph"/>
        <w:numPr>
          <w:ilvl w:val="0"/>
          <w:numId w:val="3"/>
        </w:numPr>
        <w:spacing w:after="60" w:before="60"/>
      </w:pPr>
      <w:r>
        <w:rPr>
          <w:rFonts w:ascii="Arial" w:cs="Arial" w:eastAsia="Arial" w:hAnsi="Arial"/>
          <w:color w:val="1E293B"/>
          <w:sz w:val="22"/>
          <w:szCs w:val="22"/>
        </w:rPr>
        <w:t xml:space="preserve">To use real HR data: replace generate_hr_data() with pd.read_csv('hr_data.csv'); ensure Attrition column is binary (0/1)</w:t>
      </w:r>
    </w:p>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Expected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EDA Dashboard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6-panel chart: department rates, age histograms, overtime effect, salary boxplots, satisfaction heatmap, tenure bands</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ROC Curve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Overlaid ROC curves for all 3 models with AUC scores</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Confusion Matrix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XGBoost confusion matrix showing true/false positives and negatives</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SHAP Bar Plot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Top 15 features ranked by mean absolute SHAP value</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SHAP Beeswarm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Direction plot: red = high value, blue = low value; shows which way each feature pushes attrition</w:t>
            </w:r>
          </w:p>
        </w:tc>
      </w:tr>
      <w:tr>
        <w:tc>
          <w:tcPr>
            <w:tcW w:type="dxa" w:w="2800"/>
            <w:tcBorders>
              <w:top w:val="single" w:color="E2E8F0" w:sz="1"/>
              <w:left w:val="single" w:color="E2E8F0" w:sz="1"/>
              <w:bottom w:val="single" w:color="E2E8F0" w:sz="1"/>
              <w:right w:val="single" w:color="E2E8F0" w:sz="1"/>
            </w:tcBorders>
            <w:shd w:fill="DDD6FE" w:val="clear"/>
            <w:tcMar>
              <w:top w:type="dxa" w:w="80"/>
              <w:left w:type="dxa" w:w="160"/>
              <w:bottom w:type="dxa" w:w="80"/>
              <w:right w:type="dxa" w:w="160"/>
            </w:tcMar>
          </w:tcPr>
          <w:p>
            <w:r>
              <w:rPr>
                <w:rFonts w:ascii="Arial" w:cs="Arial" w:eastAsia="Arial" w:hAnsi="Arial"/>
                <w:b/>
                <w:bCs/>
                <w:color w:val="1E293B"/>
                <w:sz w:val="22"/>
                <w:szCs w:val="22"/>
              </w:rPr>
              <w:t xml:space="preserve">Risk Score Table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Top 10 highest-risk employees with department, role, and probability</w:t>
            </w:r>
          </w:p>
        </w:tc>
      </w:tr>
      <w:tr>
        <w:tc>
          <w:tcPr>
            <w:tcW w:type="dxa" w:w="2800"/>
            <w:tcBorders>
              <w:top w:val="single" w:color="E2E8F0" w:sz="1"/>
              <w:left w:val="single" w:color="E2E8F0" w:sz="1"/>
              <w:bottom w:val="single" w:color="E2E8F0" w:sz="1"/>
              <w:right w:val="single" w:color="E2E8F0" w:sz="1"/>
            </w:tcBorders>
            <w:shd w:fill="F5F3FF" w:val="clear"/>
            <w:tcMar>
              <w:top w:type="dxa" w:w="80"/>
              <w:left w:type="dxa" w:w="160"/>
              <w:bottom w:type="dxa" w:w="80"/>
              <w:right w:type="dxa" w:w="160"/>
            </w:tcMar>
          </w:tcPr>
          <w:p>
            <w:r>
              <w:rPr>
                <w:rFonts w:ascii="Arial" w:cs="Arial" w:eastAsia="Arial" w:hAnsi="Arial"/>
                <w:b/>
                <w:bCs/>
                <w:color w:val="1E293B"/>
                <w:sz w:val="22"/>
                <w:szCs w:val="22"/>
              </w:rPr>
              <w:t xml:space="preserve">hr_attrition_risk_scores.csv</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Full risk scoring export for all 1,500 employees</w:t>
            </w:r>
          </w:p>
        </w:tc>
      </w:tr>
    </w:tbl>
    <w:p>
      <w:pPr>
        <w:spacing w:after="80" w:before="80"/>
      </w:pPr>
      <w:r>
        <w:t xml:space="preserve"/>
      </w:r>
    </w:p>
    <w:p>
      <w:pPr>
        <w:pStyle w:val="Heading1"/>
        <w:pBdr>
          <w:bottom w:val="single" w:color="7C3AED" w:sz="4" w:space="6"/>
        </w:pBdr>
        <w:spacing w:after="160" w:before="320"/>
      </w:pPr>
      <w:r>
        <w:rPr>
          <w:rFonts w:ascii="Arial" w:cs="Arial" w:eastAsia="Arial" w:hAnsi="Arial"/>
          <w:b/>
          <w:bCs/>
          <w:color w:val="7C3AED"/>
          <w:sz w:val="32"/>
          <w:szCs w:val="32"/>
        </w:rPr>
        <w:t xml:space="preserve">📚 What You Will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40"/>
              <w:bottom w:type="dxa" w:w="160"/>
              <w:right w:type="dxa" w:w="240"/>
            </w:tcMar>
          </w:tcPr>
          <w:p>
            <w:pPr>
              <w:spacing w:after="100" w:before="0"/>
            </w:pPr>
            <w:r>
              <w:rPr>
                <w:rFonts w:ascii="Arial" w:cs="Arial" w:eastAsia="Arial" w:hAnsi="Arial"/>
                <w:b/>
                <w:bCs/>
                <w:color w:val="7C3AED"/>
                <w:sz w:val="24"/>
                <w:szCs w:val="24"/>
              </w:rPr>
              <w:t xml:space="preserve">Skills Gained</w:t>
            </w:r>
          </w:p>
          <w:p>
            <w:pPr>
              <w:pStyle w:val="ListParagraph"/>
              <w:numPr>
                <w:ilvl w:val="0"/>
                <w:numId w:val="2"/>
              </w:numPr>
              <w:spacing w:after="40" w:before="40"/>
            </w:pPr>
            <w:r>
              <w:rPr>
                <w:rFonts w:ascii="Arial" w:cs="Arial" w:eastAsia="Arial" w:hAnsi="Arial"/>
                <w:color w:val="1E293B"/>
                <w:sz w:val="22"/>
                <w:szCs w:val="22"/>
              </w:rPr>
              <w:t xml:space="preserve">Performing EDA on HR data to visually surface the strongest attrition signals</w:t>
            </w:r>
          </w:p>
          <w:p>
            <w:pPr>
              <w:pStyle w:val="ListParagraph"/>
              <w:numPr>
                <w:ilvl w:val="0"/>
                <w:numId w:val="2"/>
              </w:numPr>
              <w:spacing w:after="40" w:before="40"/>
            </w:pPr>
            <w:r>
              <w:rPr>
                <w:rFonts w:ascii="Arial" w:cs="Arial" w:eastAsia="Arial" w:hAnsi="Arial"/>
                <w:color w:val="1E293B"/>
                <w:sz w:val="22"/>
                <w:szCs w:val="22"/>
              </w:rPr>
              <w:t xml:space="preserve">Engineering derived features such as income per tenure year and satisfaction composite scores</w:t>
            </w:r>
          </w:p>
          <w:p>
            <w:pPr>
              <w:pStyle w:val="ListParagraph"/>
              <w:numPr>
                <w:ilvl w:val="0"/>
                <w:numId w:val="2"/>
              </w:numPr>
              <w:spacing w:after="40" w:before="40"/>
            </w:pPr>
            <w:r>
              <w:rPr>
                <w:rFonts w:ascii="Arial" w:cs="Arial" w:eastAsia="Arial" w:hAnsi="Arial"/>
                <w:color w:val="1E293B"/>
                <w:sz w:val="22"/>
                <w:szCs w:val="22"/>
              </w:rPr>
              <w:t xml:space="preserve">Handling class imbalance in binary classification using SMOTE oversampling</w:t>
            </w:r>
          </w:p>
          <w:p>
            <w:pPr>
              <w:pStyle w:val="ListParagraph"/>
              <w:numPr>
                <w:ilvl w:val="0"/>
                <w:numId w:val="2"/>
              </w:numPr>
              <w:spacing w:after="40" w:before="40"/>
            </w:pPr>
            <w:r>
              <w:rPr>
                <w:rFonts w:ascii="Arial" w:cs="Arial" w:eastAsia="Arial" w:hAnsi="Arial"/>
                <w:color w:val="1E293B"/>
                <w:sz w:val="22"/>
                <w:szCs w:val="22"/>
              </w:rPr>
              <w:t xml:space="preserve">Comparing Logistic Regression, Random Forest, and XGBoost using business-appropriate metrics</w:t>
            </w:r>
          </w:p>
          <w:p>
            <w:pPr>
              <w:pStyle w:val="ListParagraph"/>
              <w:numPr>
                <w:ilvl w:val="0"/>
                <w:numId w:val="2"/>
              </w:numPr>
              <w:spacing w:after="40" w:before="40"/>
            </w:pPr>
            <w:r>
              <w:rPr>
                <w:rFonts w:ascii="Arial" w:cs="Arial" w:eastAsia="Arial" w:hAnsi="Arial"/>
                <w:color w:val="1E293B"/>
                <w:sz w:val="22"/>
                <w:szCs w:val="22"/>
              </w:rPr>
              <w:t xml:space="preserve">Applying SHAP TreeExplainer to explain individual XGBoost predictions</w:t>
            </w:r>
          </w:p>
          <w:p>
            <w:pPr>
              <w:pStyle w:val="ListParagraph"/>
              <w:numPr>
                <w:ilvl w:val="0"/>
                <w:numId w:val="2"/>
              </w:numPr>
              <w:spacing w:after="40" w:before="40"/>
            </w:pPr>
            <w:r>
              <w:rPr>
                <w:rFonts w:ascii="Arial" w:cs="Arial" w:eastAsia="Arial" w:hAnsi="Arial"/>
                <w:color w:val="1E293B"/>
                <w:sz w:val="22"/>
                <w:szCs w:val="22"/>
              </w:rPr>
              <w:t xml:space="preserve">Building an employee risk scoring system that HR teams can act on immediately</w:t>
            </w:r>
          </w:p>
          <w:p>
            <w:pPr>
              <w:pStyle w:val="ListParagraph"/>
              <w:numPr>
                <w:ilvl w:val="0"/>
                <w:numId w:val="2"/>
              </w:numPr>
              <w:spacing w:after="40" w:before="40"/>
            </w:pPr>
            <w:r>
              <w:rPr>
                <w:rFonts w:ascii="Arial" w:cs="Arial" w:eastAsia="Arial" w:hAnsi="Arial"/>
                <w:color w:val="1E293B"/>
                <w:sz w:val="22"/>
                <w:szCs w:val="22"/>
              </w:rPr>
              <w:t xml:space="preserve">Quantifying the financial cost of attrition to build a business case for retention investment</w:t>
            </w:r>
          </w:p>
        </w:tc>
      </w:tr>
    </w:tbl>
    <w:p>
      <w:pPr>
        <w:spacing w:after="80" w:before="80"/>
      </w:pPr>
      <w:r>
        <w:t xml:space="preserve"/>
      </w:r>
    </w:p>
    <w:p>
      <w:pPr>
        <w:pBdr>
          <w:top w:val="single" w:color="E2E8F0" w:sz="2" w:space="8"/>
        </w:pBdr>
        <w:spacing w:after="0" w:before="200"/>
        <w:jc w:val="center"/>
      </w:pPr>
      <w:r>
        <w:rPr>
          <w:rFonts w:ascii="Arial" w:cs="Arial" w:eastAsia="Arial" w:hAnsi="Arial"/>
          <w:i/>
          <w:iCs/>
          <w:color w:val="64748B"/>
          <w:sz w:val="18"/>
          <w:szCs w:val="18"/>
        </w:rPr>
        <w:t xml:space="preserve">Business Analytics Portfolio  •  GitHub: [Your GitHub Link]  •  [Your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C3AE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2026-04-19T19:50:07.151Z</dcterms:created>
  <dcterms:modified xsi:type="dcterms:W3CDTF">2026-04-19T19:50:07.151Z</dcterms:modified>
</cp:coreProperties>
</file>

<file path=docProps/custom.xml><?xml version="1.0" encoding="utf-8"?>
<Properties xmlns="http://schemas.openxmlformats.org/officeDocument/2006/custom-properties" xmlns:vt="http://schemas.openxmlformats.org/officeDocument/2006/docPropsVTypes"/>
</file>