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F2276" w14:textId="77777777" w:rsidR="00EC647A" w:rsidRPr="00EC647A" w:rsidRDefault="00EC647A" w:rsidP="00EC647A">
      <w:pPr>
        <w:spacing w:before="240" w:after="0" w:line="360" w:lineRule="auto"/>
        <w:jc w:val="center"/>
        <w:rPr>
          <w:rFonts w:ascii="Arial" w:hAnsi="Arial" w:cs="Arial"/>
          <w:sz w:val="24"/>
          <w:szCs w:val="24"/>
        </w:rPr>
      </w:pPr>
      <w:r w:rsidRPr="00EC647A">
        <w:rPr>
          <w:rFonts w:ascii="Arial" w:hAnsi="Arial" w:cs="Arial"/>
          <w:b/>
          <w:bCs/>
          <w:sz w:val="24"/>
          <w:szCs w:val="24"/>
        </w:rPr>
        <w:t>Credit Risk Analysis Report</w:t>
      </w:r>
    </w:p>
    <w:p w14:paraId="23B9FDD5"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b/>
          <w:bCs/>
        </w:rPr>
        <w:t>1. Overview of the Analysis</w:t>
      </w:r>
    </w:p>
    <w:p w14:paraId="314B9CB0"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The primary objective of this analysis is to develop a robust logistic regression model capable of predicting the likelihood of loan default based on a variety of financial and demographic factors. In the financial industry, effectively managing credit risk is crucial for ensuring the stability and profitability of lending institutions. By distinguishing between healthy (</w:t>
      </w:r>
      <w:proofErr w:type="gramStart"/>
      <w:r w:rsidRPr="00EC647A">
        <w:rPr>
          <w:rFonts w:ascii="Arial" w:hAnsi="Arial" w:cs="Arial"/>
        </w:rPr>
        <w:t>low-risk</w:t>
      </w:r>
      <w:proofErr w:type="gramEnd"/>
      <w:r w:rsidRPr="00EC647A">
        <w:rPr>
          <w:rFonts w:ascii="Arial" w:hAnsi="Arial" w:cs="Arial"/>
        </w:rPr>
        <w:t>) and high-risk loans, the model serves as a valuable tool for financial institutions to make informed lending decisions. This predictive capability helps mitigate the potential risks associated with loan defaults and supports the institution in maintaining a healthy loan portfolio.</w:t>
      </w:r>
    </w:p>
    <w:p w14:paraId="3CC6CA47"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The analysis is grounded in historical loan data, which provides insights into past lending activities and borrower behaviors. By leveraging this data, the logistic regression model can identify patterns and relationships between borrower characteristics and loan outcomes, ultimately enabling the prediction of future loan performance.</w:t>
      </w:r>
    </w:p>
    <w:p w14:paraId="314AE46E"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b/>
          <w:bCs/>
        </w:rPr>
        <w:t>2. Methodology</w:t>
      </w:r>
    </w:p>
    <w:p w14:paraId="212A1340"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b/>
          <w:bCs/>
        </w:rPr>
        <w:t>Data Preparation</w:t>
      </w:r>
    </w:p>
    <w:p w14:paraId="66313612"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The dataset utilized in this analysis is the lending_data.csv, which contains historical loan data, including several key features that describe the financial and demographic attributes of borrowers. These features are crucial in predicting the likelihood of a loan default and include variables such as income level, credit history, loan amount, and other relevant factors.</w:t>
      </w:r>
    </w:p>
    <w:p w14:paraId="08F436BF"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To ensure the model's reliability and accuracy, the dataset was preprocessed and split into training and testing sets. This split allows for the evaluation of the model’s performance on unseen data, ensuring that the model generalizes well to new and previously unobserved cases.</w:t>
      </w:r>
    </w:p>
    <w:p w14:paraId="1BE4E793"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b/>
          <w:bCs/>
        </w:rPr>
        <w:t>Model Development</w:t>
      </w:r>
    </w:p>
    <w:p w14:paraId="3794AFFF"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A logistic regression model was chosen for this analysis due to its simplicity, interpretability, and effectiveness in binary classification problems. Logistic regression is particularly well-suited for cases where the outcome variable is categorical, in this case, the risk classification of loans as either healthy (low-risk) or high-risk.</w:t>
      </w:r>
    </w:p>
    <w:p w14:paraId="5E3088F3"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lastRenderedPageBreak/>
        <w:t>The model was trained on the preprocessed training dataset, learning the relationships between the input features (borrower attributes) and the target variable (loan risk classification). Once trained, the model was evaluated on the testing dataset to assess its predictive performance.</w:t>
      </w:r>
    </w:p>
    <w:p w14:paraId="0702BEC7"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b/>
          <w:bCs/>
        </w:rPr>
        <w:t>Model Evaluation</w:t>
      </w:r>
    </w:p>
    <w:p w14:paraId="0F5D8C5F"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To assess the performance of the logistic regression model, several key metrics were calculated:</w:t>
      </w:r>
    </w:p>
    <w:p w14:paraId="12DED535" w14:textId="77777777" w:rsidR="00EC647A" w:rsidRPr="00EC647A" w:rsidRDefault="00EC647A" w:rsidP="00EC647A">
      <w:pPr>
        <w:numPr>
          <w:ilvl w:val="0"/>
          <w:numId w:val="1"/>
        </w:numPr>
        <w:spacing w:before="240" w:after="0" w:line="360" w:lineRule="auto"/>
        <w:jc w:val="both"/>
        <w:rPr>
          <w:rFonts w:ascii="Arial" w:hAnsi="Arial" w:cs="Arial"/>
        </w:rPr>
      </w:pPr>
      <w:r w:rsidRPr="00EC647A">
        <w:rPr>
          <w:rFonts w:ascii="Arial" w:hAnsi="Arial" w:cs="Arial"/>
          <w:b/>
          <w:bCs/>
        </w:rPr>
        <w:t>Confusion Matrix</w:t>
      </w:r>
      <w:r w:rsidRPr="00EC647A">
        <w:rPr>
          <w:rFonts w:ascii="Arial" w:hAnsi="Arial" w:cs="Arial"/>
        </w:rPr>
        <w:t>: A confusion matrix was generated to visualize the model's performance in predicting both healthy (label 0) and high-risk (label 1) loans. This matrix provides a breakdown of true positives, true negatives, false positives, and false negatives, offering insights into the model's classification accuracy.</w:t>
      </w:r>
    </w:p>
    <w:p w14:paraId="09A60AAE" w14:textId="77777777" w:rsidR="00EC647A" w:rsidRPr="00EC647A" w:rsidRDefault="00EC647A" w:rsidP="00EC647A">
      <w:pPr>
        <w:numPr>
          <w:ilvl w:val="0"/>
          <w:numId w:val="1"/>
        </w:numPr>
        <w:spacing w:before="240" w:after="0" w:line="360" w:lineRule="auto"/>
        <w:jc w:val="both"/>
        <w:rPr>
          <w:rFonts w:ascii="Arial" w:hAnsi="Arial" w:cs="Arial"/>
        </w:rPr>
      </w:pPr>
      <w:r w:rsidRPr="00EC647A">
        <w:rPr>
          <w:rFonts w:ascii="Arial" w:hAnsi="Arial" w:cs="Arial"/>
          <w:b/>
          <w:bCs/>
        </w:rPr>
        <w:t>Accuracy Score</w:t>
      </w:r>
      <w:r w:rsidRPr="00EC647A">
        <w:rPr>
          <w:rFonts w:ascii="Arial" w:hAnsi="Arial" w:cs="Arial"/>
        </w:rPr>
        <w:t>: The overall accuracy of the model was calculated to determine the proportion of correctly predicted cases (both healthy and high-risk loans) out of the total number of predictions made.</w:t>
      </w:r>
    </w:p>
    <w:p w14:paraId="41F46012" w14:textId="77777777" w:rsidR="00EC647A" w:rsidRPr="00EC647A" w:rsidRDefault="00EC647A" w:rsidP="00EC647A">
      <w:pPr>
        <w:numPr>
          <w:ilvl w:val="0"/>
          <w:numId w:val="1"/>
        </w:numPr>
        <w:spacing w:before="240" w:after="0" w:line="360" w:lineRule="auto"/>
        <w:jc w:val="both"/>
        <w:rPr>
          <w:rFonts w:ascii="Arial" w:hAnsi="Arial" w:cs="Arial"/>
        </w:rPr>
      </w:pPr>
      <w:r w:rsidRPr="00EC647A">
        <w:rPr>
          <w:rFonts w:ascii="Arial" w:hAnsi="Arial" w:cs="Arial"/>
          <w:b/>
          <w:bCs/>
        </w:rPr>
        <w:t>Balanced Accuracy Score</w:t>
      </w:r>
      <w:r w:rsidRPr="00EC647A">
        <w:rPr>
          <w:rFonts w:ascii="Arial" w:hAnsi="Arial" w:cs="Arial"/>
        </w:rPr>
        <w:t>: Given the possibility of class imbalance (where the number of healthy loans might significantly outweigh the number of high-risk loans), the balanced accuracy score was computed. This metric calculates the average recall obtained on each class, providing a more nuanced understanding of the model's performance across both loan categories.</w:t>
      </w:r>
    </w:p>
    <w:p w14:paraId="5716687B"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b/>
          <w:bCs/>
        </w:rPr>
        <w:t>3. Results</w:t>
      </w:r>
    </w:p>
    <w:p w14:paraId="11B31DA3"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The results of the logistic regression model's performance are as follows:</w:t>
      </w:r>
    </w:p>
    <w:p w14:paraId="1F84BFB9" w14:textId="77777777" w:rsidR="00EC647A" w:rsidRPr="00EC647A" w:rsidRDefault="00EC647A" w:rsidP="00EC647A">
      <w:pPr>
        <w:numPr>
          <w:ilvl w:val="0"/>
          <w:numId w:val="2"/>
        </w:numPr>
        <w:spacing w:before="240" w:after="0" w:line="360" w:lineRule="auto"/>
        <w:jc w:val="both"/>
        <w:rPr>
          <w:rFonts w:ascii="Arial" w:hAnsi="Arial" w:cs="Arial"/>
        </w:rPr>
      </w:pPr>
      <w:r w:rsidRPr="00EC647A">
        <w:rPr>
          <w:rFonts w:ascii="Arial" w:hAnsi="Arial" w:cs="Arial"/>
          <w:b/>
          <w:bCs/>
        </w:rPr>
        <w:t>Accuracy Score</w:t>
      </w:r>
      <w:r w:rsidRPr="00EC647A">
        <w:rPr>
          <w:rFonts w:ascii="Arial" w:hAnsi="Arial" w:cs="Arial"/>
        </w:rPr>
        <w:t xml:space="preserve">: The model achieved an impressive accuracy score of 99.24%, indicating that it correctly predicts the loan risk classification in </w:t>
      </w:r>
      <w:proofErr w:type="gramStart"/>
      <w:r w:rsidRPr="00EC647A">
        <w:rPr>
          <w:rFonts w:ascii="Arial" w:hAnsi="Arial" w:cs="Arial"/>
        </w:rPr>
        <w:t>the vast majority of</w:t>
      </w:r>
      <w:proofErr w:type="gramEnd"/>
      <w:r w:rsidRPr="00EC647A">
        <w:rPr>
          <w:rFonts w:ascii="Arial" w:hAnsi="Arial" w:cs="Arial"/>
        </w:rPr>
        <w:t xml:space="preserve"> cases.</w:t>
      </w:r>
    </w:p>
    <w:p w14:paraId="42BBD6F3" w14:textId="77777777" w:rsidR="00EC647A" w:rsidRPr="00EC647A" w:rsidRDefault="00EC647A" w:rsidP="00EC647A">
      <w:pPr>
        <w:numPr>
          <w:ilvl w:val="0"/>
          <w:numId w:val="2"/>
        </w:numPr>
        <w:spacing w:before="240" w:after="0" w:line="360" w:lineRule="auto"/>
        <w:jc w:val="both"/>
        <w:rPr>
          <w:rFonts w:ascii="Arial" w:hAnsi="Arial" w:cs="Arial"/>
        </w:rPr>
      </w:pPr>
      <w:r w:rsidRPr="00EC647A">
        <w:rPr>
          <w:rFonts w:ascii="Arial" w:hAnsi="Arial" w:cs="Arial"/>
          <w:b/>
          <w:bCs/>
        </w:rPr>
        <w:t>Balanced Accuracy Score</w:t>
      </w:r>
      <w:r w:rsidRPr="00EC647A">
        <w:rPr>
          <w:rFonts w:ascii="Arial" w:hAnsi="Arial" w:cs="Arial"/>
        </w:rPr>
        <w:t>: The balanced accuracy score was 94.43%, demonstrating that the model performs well across both classes, even in the presence of potential class imbalance.</w:t>
      </w:r>
    </w:p>
    <w:p w14:paraId="3B3211B4" w14:textId="77777777" w:rsidR="00EC647A" w:rsidRPr="00EC647A" w:rsidRDefault="00EC647A" w:rsidP="00EC647A">
      <w:pPr>
        <w:numPr>
          <w:ilvl w:val="0"/>
          <w:numId w:val="2"/>
        </w:numPr>
        <w:spacing w:before="240" w:after="0" w:line="360" w:lineRule="auto"/>
        <w:jc w:val="both"/>
        <w:rPr>
          <w:rFonts w:ascii="Arial" w:hAnsi="Arial" w:cs="Arial"/>
        </w:rPr>
      </w:pPr>
      <w:r w:rsidRPr="00EC647A">
        <w:rPr>
          <w:rFonts w:ascii="Arial" w:hAnsi="Arial" w:cs="Arial"/>
          <w:b/>
          <w:bCs/>
        </w:rPr>
        <w:t>Precision for Healthy Loans (Label 0)</w:t>
      </w:r>
      <w:r w:rsidRPr="00EC647A">
        <w:rPr>
          <w:rFonts w:ascii="Arial" w:hAnsi="Arial" w:cs="Arial"/>
        </w:rPr>
        <w:t xml:space="preserve">: The precision for healthy loans is 100%, meaning that when the model predicts a loan as healthy, it is always correct. This high precision </w:t>
      </w:r>
      <w:r w:rsidRPr="00EC647A">
        <w:rPr>
          <w:rFonts w:ascii="Arial" w:hAnsi="Arial" w:cs="Arial"/>
        </w:rPr>
        <w:lastRenderedPageBreak/>
        <w:t>minimizes the risk of misclassifying high-risk loans as healthy, which is crucial for maintaining a sound loan portfolio.</w:t>
      </w:r>
    </w:p>
    <w:p w14:paraId="0ADDEFAD" w14:textId="77777777" w:rsidR="00EC647A" w:rsidRPr="00EC647A" w:rsidRDefault="00EC647A" w:rsidP="00EC647A">
      <w:pPr>
        <w:numPr>
          <w:ilvl w:val="0"/>
          <w:numId w:val="2"/>
        </w:numPr>
        <w:spacing w:before="240" w:after="0" w:line="360" w:lineRule="auto"/>
        <w:jc w:val="both"/>
        <w:rPr>
          <w:rFonts w:ascii="Arial" w:hAnsi="Arial" w:cs="Arial"/>
        </w:rPr>
      </w:pPr>
      <w:r w:rsidRPr="00EC647A">
        <w:rPr>
          <w:rFonts w:ascii="Arial" w:hAnsi="Arial" w:cs="Arial"/>
          <w:b/>
          <w:bCs/>
        </w:rPr>
        <w:t>Recall for Healthy Loans (Label 0)</w:t>
      </w:r>
      <w:r w:rsidRPr="00EC647A">
        <w:rPr>
          <w:rFonts w:ascii="Arial" w:hAnsi="Arial" w:cs="Arial"/>
        </w:rPr>
        <w:t>: The recall for healthy loans is also 100%, indicating that the model successfully identifies all healthy loans within the dataset. This means that no healthy loan is incorrectly classified as high-risk.</w:t>
      </w:r>
    </w:p>
    <w:p w14:paraId="7F4065AF" w14:textId="77777777" w:rsidR="00EC647A" w:rsidRPr="00EC647A" w:rsidRDefault="00EC647A" w:rsidP="00EC647A">
      <w:pPr>
        <w:numPr>
          <w:ilvl w:val="0"/>
          <w:numId w:val="2"/>
        </w:numPr>
        <w:spacing w:before="240" w:after="0" w:line="360" w:lineRule="auto"/>
        <w:jc w:val="both"/>
        <w:rPr>
          <w:rFonts w:ascii="Arial" w:hAnsi="Arial" w:cs="Arial"/>
        </w:rPr>
      </w:pPr>
      <w:r w:rsidRPr="00EC647A">
        <w:rPr>
          <w:rFonts w:ascii="Arial" w:hAnsi="Arial" w:cs="Arial"/>
          <w:b/>
          <w:bCs/>
        </w:rPr>
        <w:t>Precision for High-Risk Loans (Label 1)</w:t>
      </w:r>
      <w:r w:rsidRPr="00EC647A">
        <w:rPr>
          <w:rFonts w:ascii="Arial" w:hAnsi="Arial" w:cs="Arial"/>
        </w:rPr>
        <w:t>: The precision for high-risk loans is 87%, which, while strong, indicates that there is a small proportion of healthy loans that are misclassified as high-risk.</w:t>
      </w:r>
    </w:p>
    <w:p w14:paraId="6489E05C" w14:textId="77777777" w:rsidR="00EC647A" w:rsidRPr="00EC647A" w:rsidRDefault="00EC647A" w:rsidP="00EC647A">
      <w:pPr>
        <w:numPr>
          <w:ilvl w:val="0"/>
          <w:numId w:val="2"/>
        </w:numPr>
        <w:spacing w:before="240" w:after="0" w:line="360" w:lineRule="auto"/>
        <w:jc w:val="both"/>
        <w:rPr>
          <w:rFonts w:ascii="Arial" w:hAnsi="Arial" w:cs="Arial"/>
        </w:rPr>
      </w:pPr>
      <w:r w:rsidRPr="00EC647A">
        <w:rPr>
          <w:rFonts w:ascii="Arial" w:hAnsi="Arial" w:cs="Arial"/>
          <w:b/>
          <w:bCs/>
        </w:rPr>
        <w:t>Recall for High-Risk Loans (Label 1)</w:t>
      </w:r>
      <w:r w:rsidRPr="00EC647A">
        <w:rPr>
          <w:rFonts w:ascii="Arial" w:hAnsi="Arial" w:cs="Arial"/>
        </w:rPr>
        <w:t>: The recall for high-risk loans is 89%, meaning that the model successfully identifies 89% of all high-risk loans. This suggests a small proportion of high-risk loans that are incorrectly classified as healthy.</w:t>
      </w:r>
    </w:p>
    <w:p w14:paraId="187117F2"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b/>
          <w:bCs/>
        </w:rPr>
        <w:t>4. Summary</w:t>
      </w:r>
    </w:p>
    <w:p w14:paraId="45B04F51"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The logistic regression model developed in this analysis performs exceptionally well in predicting healthy loans, achieving perfect precision and recall scores. This indicates that the model almost never misclassifies healthy loans, which is critical for minimizing unnecessary loan rejections or risk mismanagement.</w:t>
      </w:r>
    </w:p>
    <w:p w14:paraId="17DFBD4E"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However, while the model's performance in predicting high-risk loans is also strong, it is not perfect. The precision and recall for high-risk loans, although high, leave some room for improvement. Specifically, there are instances where healthy loans are misclassified as high-risk and vice versa, which could lead to either missed opportunities or increased risk exposure.</w:t>
      </w:r>
    </w:p>
    <w:p w14:paraId="7D6E1BDE"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b/>
          <w:bCs/>
        </w:rPr>
        <w:t>5. Recommendation</w:t>
      </w:r>
    </w:p>
    <w:p w14:paraId="04301F3E" w14:textId="77777777" w:rsidR="00EC647A" w:rsidRPr="00EC647A" w:rsidRDefault="00EC647A" w:rsidP="00EC647A">
      <w:pPr>
        <w:spacing w:before="240" w:after="0" w:line="360" w:lineRule="auto"/>
        <w:jc w:val="both"/>
        <w:rPr>
          <w:rFonts w:ascii="Arial" w:hAnsi="Arial" w:cs="Arial"/>
        </w:rPr>
      </w:pPr>
      <w:r w:rsidRPr="00EC647A">
        <w:rPr>
          <w:rFonts w:ascii="Arial" w:hAnsi="Arial" w:cs="Arial"/>
        </w:rPr>
        <w:t>Given the model's high accuracy and near-perfect performance in predicting healthy loans, it is recommended for use by the financial institution. The logistic regression model provides reliable classifications that can greatly support decision-making processes related to loan approvals.</w:t>
      </w:r>
    </w:p>
    <w:p w14:paraId="1B7148B2" w14:textId="36F4C6CE" w:rsidR="00CD4FEA" w:rsidRPr="00EC647A" w:rsidRDefault="00EC647A" w:rsidP="00EC647A">
      <w:pPr>
        <w:spacing w:before="240" w:after="0" w:line="360" w:lineRule="auto"/>
        <w:jc w:val="both"/>
        <w:rPr>
          <w:rFonts w:ascii="Arial" w:hAnsi="Arial" w:cs="Arial"/>
        </w:rPr>
      </w:pPr>
      <w:r w:rsidRPr="00EC647A">
        <w:rPr>
          <w:rFonts w:ascii="Arial" w:hAnsi="Arial" w:cs="Arial"/>
        </w:rPr>
        <w:t xml:space="preserve">However, it is important to exercise caution, particularly when dealing with high-risk loans. To further minimize potential financial losses, the institution might consider combining this model with additional risk assessment tools or incorporating more advanced modeling techniques to improve </w:t>
      </w:r>
      <w:r w:rsidRPr="00EC647A">
        <w:rPr>
          <w:rFonts w:ascii="Arial" w:hAnsi="Arial" w:cs="Arial"/>
        </w:rPr>
        <w:lastRenderedPageBreak/>
        <w:t>the detection of high-risk loans. This combined approach would provide a more comprehensive risk management strategy, ensuring both precision in loan approvals and protection against defaults.</w:t>
      </w:r>
    </w:p>
    <w:sectPr w:rsidR="00CD4FEA" w:rsidRPr="00EC647A" w:rsidSect="00EC647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2748F" w14:textId="77777777" w:rsidR="00145541" w:rsidRDefault="00145541" w:rsidP="00EC647A">
      <w:pPr>
        <w:spacing w:after="0" w:line="240" w:lineRule="auto"/>
      </w:pPr>
      <w:r>
        <w:separator/>
      </w:r>
    </w:p>
  </w:endnote>
  <w:endnote w:type="continuationSeparator" w:id="0">
    <w:p w14:paraId="4DDEE97F" w14:textId="77777777" w:rsidR="00145541" w:rsidRDefault="00145541" w:rsidP="00EC6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104952"/>
      <w:docPartObj>
        <w:docPartGallery w:val="Page Numbers (Bottom of Page)"/>
        <w:docPartUnique/>
      </w:docPartObj>
    </w:sdtPr>
    <w:sdtEndPr>
      <w:rPr>
        <w:noProof/>
      </w:rPr>
    </w:sdtEndPr>
    <w:sdtContent>
      <w:p w14:paraId="6D3E7CAB" w14:textId="158E065E" w:rsidR="00EC647A" w:rsidRDefault="00EC64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41FCBA" w14:textId="77777777" w:rsidR="00EC647A" w:rsidRDefault="00EC6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0B53E" w14:textId="77777777" w:rsidR="00145541" w:rsidRDefault="00145541" w:rsidP="00EC647A">
      <w:pPr>
        <w:spacing w:after="0" w:line="240" w:lineRule="auto"/>
      </w:pPr>
      <w:r>
        <w:separator/>
      </w:r>
    </w:p>
  </w:footnote>
  <w:footnote w:type="continuationSeparator" w:id="0">
    <w:p w14:paraId="2AE1D8A6" w14:textId="77777777" w:rsidR="00145541" w:rsidRDefault="00145541" w:rsidP="00EC6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516A5" w14:textId="30FA69E0" w:rsidR="00EC647A" w:rsidRDefault="00EC647A">
    <w:pPr>
      <w:pStyle w:val="Header"/>
    </w:pPr>
    <w:r w:rsidRPr="00EC647A">
      <w:t>Credit Risk Analysis Report</w:t>
    </w:r>
  </w:p>
  <w:p w14:paraId="5D955400" w14:textId="03F413AC" w:rsidR="00EC647A" w:rsidRDefault="00EC647A">
    <w:pPr>
      <w:pStyle w:val="Header"/>
    </w:pPr>
    <w:r>
      <w:t>-Kinjal Sakhida</w:t>
    </w:r>
    <w:r>
      <w:ptab w:relativeTo="margin" w:alignment="left" w:leader="none"/>
    </w:r>
  </w:p>
  <w:p w14:paraId="2F7E65A8" w14:textId="77777777" w:rsidR="00EC647A" w:rsidRDefault="00EC6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7E15"/>
    <w:multiLevelType w:val="multilevel"/>
    <w:tmpl w:val="6BC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A055D"/>
    <w:multiLevelType w:val="multilevel"/>
    <w:tmpl w:val="D4D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480315">
    <w:abstractNumId w:val="1"/>
  </w:num>
  <w:num w:numId="2" w16cid:durableId="107755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E7"/>
    <w:rsid w:val="00145541"/>
    <w:rsid w:val="00B20F8A"/>
    <w:rsid w:val="00CD4FEA"/>
    <w:rsid w:val="00EC647A"/>
    <w:rsid w:val="00FD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1E01"/>
  <w15:chartTrackingRefBased/>
  <w15:docId w15:val="{DD7713C0-391A-4528-A991-A77FCCEC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7E7"/>
    <w:rPr>
      <w:rFonts w:eastAsiaTheme="majorEastAsia" w:cstheme="majorBidi"/>
      <w:color w:val="272727" w:themeColor="text1" w:themeTint="D8"/>
    </w:rPr>
  </w:style>
  <w:style w:type="paragraph" w:styleId="Title">
    <w:name w:val="Title"/>
    <w:basedOn w:val="Normal"/>
    <w:next w:val="Normal"/>
    <w:link w:val="TitleChar"/>
    <w:uiPriority w:val="10"/>
    <w:qFormat/>
    <w:rsid w:val="00FD3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7E7"/>
    <w:pPr>
      <w:spacing w:before="160"/>
      <w:jc w:val="center"/>
    </w:pPr>
    <w:rPr>
      <w:i/>
      <w:iCs/>
      <w:color w:val="404040" w:themeColor="text1" w:themeTint="BF"/>
    </w:rPr>
  </w:style>
  <w:style w:type="character" w:customStyle="1" w:styleId="QuoteChar">
    <w:name w:val="Quote Char"/>
    <w:basedOn w:val="DefaultParagraphFont"/>
    <w:link w:val="Quote"/>
    <w:uiPriority w:val="29"/>
    <w:rsid w:val="00FD37E7"/>
    <w:rPr>
      <w:i/>
      <w:iCs/>
      <w:color w:val="404040" w:themeColor="text1" w:themeTint="BF"/>
    </w:rPr>
  </w:style>
  <w:style w:type="paragraph" w:styleId="ListParagraph">
    <w:name w:val="List Paragraph"/>
    <w:basedOn w:val="Normal"/>
    <w:uiPriority w:val="34"/>
    <w:qFormat/>
    <w:rsid w:val="00FD37E7"/>
    <w:pPr>
      <w:ind w:left="720"/>
      <w:contextualSpacing/>
    </w:pPr>
  </w:style>
  <w:style w:type="character" w:styleId="IntenseEmphasis">
    <w:name w:val="Intense Emphasis"/>
    <w:basedOn w:val="DefaultParagraphFont"/>
    <w:uiPriority w:val="21"/>
    <w:qFormat/>
    <w:rsid w:val="00FD37E7"/>
    <w:rPr>
      <w:i/>
      <w:iCs/>
      <w:color w:val="0F4761" w:themeColor="accent1" w:themeShade="BF"/>
    </w:rPr>
  </w:style>
  <w:style w:type="paragraph" w:styleId="IntenseQuote">
    <w:name w:val="Intense Quote"/>
    <w:basedOn w:val="Normal"/>
    <w:next w:val="Normal"/>
    <w:link w:val="IntenseQuoteChar"/>
    <w:uiPriority w:val="30"/>
    <w:qFormat/>
    <w:rsid w:val="00FD3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7E7"/>
    <w:rPr>
      <w:i/>
      <w:iCs/>
      <w:color w:val="0F4761" w:themeColor="accent1" w:themeShade="BF"/>
    </w:rPr>
  </w:style>
  <w:style w:type="character" w:styleId="IntenseReference">
    <w:name w:val="Intense Reference"/>
    <w:basedOn w:val="DefaultParagraphFont"/>
    <w:uiPriority w:val="32"/>
    <w:qFormat/>
    <w:rsid w:val="00FD37E7"/>
    <w:rPr>
      <w:b/>
      <w:bCs/>
      <w:smallCaps/>
      <w:color w:val="0F4761" w:themeColor="accent1" w:themeShade="BF"/>
      <w:spacing w:val="5"/>
    </w:rPr>
  </w:style>
  <w:style w:type="paragraph" w:styleId="Header">
    <w:name w:val="header"/>
    <w:basedOn w:val="Normal"/>
    <w:link w:val="HeaderChar"/>
    <w:uiPriority w:val="99"/>
    <w:unhideWhenUsed/>
    <w:rsid w:val="00EC6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47A"/>
  </w:style>
  <w:style w:type="paragraph" w:styleId="Footer">
    <w:name w:val="footer"/>
    <w:basedOn w:val="Normal"/>
    <w:link w:val="FooterChar"/>
    <w:uiPriority w:val="99"/>
    <w:unhideWhenUsed/>
    <w:rsid w:val="00EC6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120264">
      <w:bodyDiv w:val="1"/>
      <w:marLeft w:val="0"/>
      <w:marRight w:val="0"/>
      <w:marTop w:val="0"/>
      <w:marBottom w:val="0"/>
      <w:divBdr>
        <w:top w:val="none" w:sz="0" w:space="0" w:color="auto"/>
        <w:left w:val="none" w:sz="0" w:space="0" w:color="auto"/>
        <w:bottom w:val="none" w:sz="0" w:space="0" w:color="auto"/>
        <w:right w:val="none" w:sz="0" w:space="0" w:color="auto"/>
      </w:divBdr>
    </w:div>
    <w:div w:id="14968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Sakhida</dc:creator>
  <cp:keywords/>
  <dc:description/>
  <cp:lastModifiedBy>Kinjal Sakhida</cp:lastModifiedBy>
  <cp:revision>2</cp:revision>
  <dcterms:created xsi:type="dcterms:W3CDTF">2024-08-23T00:07:00Z</dcterms:created>
  <dcterms:modified xsi:type="dcterms:W3CDTF">2024-08-23T00:15:00Z</dcterms:modified>
</cp:coreProperties>
</file>