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60"/>
        <w:jc w:val="center"/>
      </w:pPr>
      <w:r>
        <w:rPr>
          <w:rFonts w:ascii="Arial" w:cs="Arial" w:eastAsia="Arial" w:hAnsi="Arial"/>
          <w:b/>
          <w:bCs/>
          <w:color w:val="E84545"/>
          <w:sz w:val="80"/>
          <w:szCs w:val="80"/>
        </w:rPr>
        <w:t xml:space="preserve">AI REVENUE ENGINE™</w:t>
      </w:r>
    </w:p>
    <w:p>
      <w:pPr>
        <w:spacing w:after="60"/>
        <w:jc w:val="center"/>
      </w:pPr>
      <w:r>
        <w:rPr>
          <w:rFonts w:ascii="Arial" w:cs="Arial" w:eastAsia="Arial" w:hAnsi="Arial"/>
          <w:color w:val="0D1B2A"/>
          <w:sz w:val="40"/>
          <w:szCs w:val="40"/>
        </w:rPr>
        <w:t xml:space="preserve">for Local Businesses</w:t>
      </w:r>
    </w:p>
    <w:p>
      <w:pPr>
        <w:spacing w:after="240"/>
        <w:jc w:val="center"/>
      </w:pPr>
      <w:r>
        <w:rPr>
          <w:rFonts w:ascii="Arial" w:cs="Arial" w:eastAsia="Arial" w:hAnsi="Arial"/>
          <w:i/>
          <w:iCs/>
          <w:color w:val="4A5568"/>
          <w:sz w:val="24"/>
          <w:szCs w:val="24"/>
        </w:rPr>
        <w:t xml:space="preserve">Agent Orchestration Architecture  ·  v2.0</w:t>
      </w:r>
    </w:p>
    <w:p>
      <w:pPr>
        <w:pBdr>
          <w:bottom w:val="single" w:color="E84545" w:sz="4" w:space="1"/>
        </w:pBdr>
        <w:spacing w:after="120" w:before="120"/>
      </w:pPr>
      <w:r>
        <w:t xml:space="preserve"/>
      </w:r>
    </w:p>
    <w:p>
      <w:pPr>
        <w:spacing w:after="80"/>
      </w:pPr>
      <w:r>
        <w:t xml:space="preserve"/>
      </w:r>
    </w:p>
    <w:p>
      <w:pPr>
        <w:spacing w:after="120"/>
        <w:jc w:val="center"/>
      </w:pPr>
      <w:r>
        <w:rPr>
          <w:rFonts w:ascii="Arial" w:cs="Arial" w:eastAsia="Arial" w:hAnsi="Arial"/>
          <w:color w:val="2C3E50"/>
          <w:sz w:val="22"/>
          <w:szCs w:val="22"/>
        </w:rPr>
        <w:t xml:space="preserve">OpenClaw  ·  InsForge  ·  Supabase  ·  Twilio  ·  Cal.com  ·  Smartlead</w:t>
      </w:r>
    </w:p>
    <w:p>
      <w:pPr>
        <w:jc w:val="center"/>
      </w:pPr>
      <w:r>
        <w:rPr>
          <w:rFonts w:ascii="Arial" w:cs="Arial" w:eastAsia="Arial" w:hAnsi="Arial"/>
          <w:color w:val="4A5568"/>
          <w:sz w:val="18"/>
          <w:szCs w:val="18"/>
        </w:rPr>
        <w:t xml:space="preserve">KlickSmart AI  ·  Vancouver, BC  ·  March 2026</w:t>
      </w:r>
    </w:p>
    <w:p>
      <w:r>
        <w:br w:type="page"/>
      </w:r>
    </w:p>
    <w:p>
      <w:pPr>
        <w:pStyle w:val="Heading1"/>
        <w:shd w:fill="0D1B2A" w:val="clear"/>
        <w:spacing w:after="240" w:before="480"/>
        <w:ind w:left="200" w:right="200"/>
      </w:pPr>
      <w:r>
        <w:rPr>
          <w:rFonts w:ascii="Arial" w:cs="Arial" w:eastAsia="Arial" w:hAnsi="Arial"/>
          <w:b/>
          <w:bCs/>
          <w:color w:val="FFFFFF"/>
          <w:sz w:val="34"/>
          <w:szCs w:val="34"/>
        </w:rPr>
        <w:t xml:space="preserve">1. Executive Summary</w:t>
      </w:r>
    </w:p>
    <w:p>
      <w:pPr>
        <w:spacing w:after="80"/>
      </w:pPr>
      <w:r>
        <w:t xml:space="preserve"/>
      </w:r>
    </w:p>
    <w:p>
      <w:pPr>
        <w:spacing w:after="160"/>
      </w:pPr>
      <w:r>
        <w:rPr>
          <w:rFonts w:ascii="Arial" w:cs="Arial" w:eastAsia="Arial" w:hAnsi="Arial"/>
          <w:color w:val="1C1C2E"/>
          <w:sz w:val="20"/>
          <w:szCs w:val="20"/>
        </w:rPr>
        <w:t xml:space="preserve">The AI Revenue Engine™ is a fully automated lead-to-booked-appointment system built for local home service businesses. It is sold as a done-for-you (DFY) service initially, with a white-label path as KlickSmart AI scales.</w:t>
      </w:r>
    </w:p>
    <w:p>
      <w:pPr>
        <w:spacing w:after="160"/>
      </w:pPr>
      <w:r>
        <w:rPr>
          <w:rFonts w:ascii="Arial" w:cs="Arial" w:eastAsia="Arial" w:hAnsi="Arial"/>
          <w:color w:val="1C1C2E"/>
          <w:sz w:val="20"/>
          <w:szCs w:val="20"/>
        </w:rPr>
        <w:t xml:space="preserve">A single sentence captures what the client experiences: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0B4D8"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ELEVATOR
PITCH</w:t>
            </w:r>
          </w:p>
        </w:tc>
        <w:tc>
          <w:tcPr>
            <w:tcW w:type="dxa" w:w="7920"/>
            <w:tcBorders>
              <w:top w:val="single" w:color="E0F7FA" w:sz="8"/>
              <w:left w:val="none" w:color="FFFFFF" w:sz="0"/>
              <w:bottom w:val="single" w:color="E0F7FA" w:sz="8"/>
              <w:right w:val="single" w:color="E0F7FA" w:sz="8"/>
            </w:tcBorders>
            <w:shd w:fill="E0F7FA" w:val="clear"/>
            <w:tcMar>
              <w:top w:type="dxa" w:w="120"/>
              <w:left w:type="dxa" w:w="160"/>
              <w:bottom w:type="dxa" w:w="120"/>
              <w:right w:type="dxa" w:w="200"/>
            </w:tcMar>
          </w:tcPr>
          <w:p>
            <w:pPr>
              <w:spacing w:after="60"/>
            </w:pPr>
            <w:r>
              <w:rPr>
                <w:rFonts w:ascii="Arial" w:cs="Arial" w:eastAsia="Arial" w:hAnsi="Arial"/>
                <w:color w:val="1C1C2E"/>
                <w:sz w:val="19"/>
                <w:szCs w:val="19"/>
              </w:rPr>
              <w:t xml:space="preserve">"We install an AI system that finds leads, contacts them, follows up, and books appointments automatically — 24/7."</w:t>
            </w:r>
          </w:p>
        </w:tc>
      </w:tr>
    </w:tbl>
    <w:p>
      <w:pPr>
        <w:spacing w:after="160"/>
      </w:pPr>
      <w:r>
        <w:t xml:space="preserve"/>
      </w:r>
    </w:p>
    <w:p>
      <w:pPr>
        <w:spacing w:after="160"/>
      </w:pPr>
      <w:r>
        <w:rPr>
          <w:rFonts w:ascii="Arial" w:cs="Arial" w:eastAsia="Arial" w:hAnsi="Arial"/>
          <w:color w:val="1C1C2E"/>
          <w:sz w:val="20"/>
          <w:szCs w:val="20"/>
        </w:rPr>
        <w:t xml:space="preserve">Behind that sentence is a 6-layer technology stack with OpenClaw as the orchestrating brain, a two-database architecture (InsForge for agency-level operations, Supabase per client for full data isolation), Twilio for 2-way SMS, Cal.com for booking, and Smartlead for cold email.</w:t>
      </w:r>
    </w:p>
    <w:p>
      <w:pPr>
        <w:spacing w:after="80"/>
      </w:pPr>
      <w:r>
        <w:t xml:space="preserve"/>
      </w:r>
    </w:p>
    <w:p>
      <w:pPr>
        <w:spacing w:after="160"/>
      </w:pPr>
      <w:r>
        <w:rPr>
          <w:rFonts w:ascii="Arial" w:cs="Arial" w:eastAsia="Arial" w:hAnsi="Arial"/>
          <w:color w:val="1C1C2E"/>
          <w:sz w:val="20"/>
          <w:szCs w:val="20"/>
        </w:rPr>
        <w:t xml:space="preserve">Phase 1 targets two Metro Vancouver verticals: plumbers and HVAC contractors. The system is architected to scale horizontally — adding a new vertical or a new client requires cloning a client template, not rebuilding the system.</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WHAT THIS
DOC COVERS</w:t>
            </w:r>
          </w:p>
        </w:tc>
        <w:tc>
          <w:tcPr>
            <w:tcW w:type="dxa" w:w="7920"/>
            <w:tcBorders>
              <w:top w:val="single" w:color="E6F4EA" w:sz="8"/>
              <w:left w:val="none" w:color="FFFFFF" w:sz="0"/>
              <w:bottom w:val="single" w:color="E6F4EA" w:sz="8"/>
              <w:right w:val="single" w:color="E6F4EA" w:sz="8"/>
            </w:tcBorders>
            <w:shd w:fill="E6F4EA" w:val="clear"/>
            <w:tcMar>
              <w:top w:type="dxa" w:w="120"/>
              <w:left w:type="dxa" w:w="160"/>
              <w:bottom w:type="dxa" w:w="120"/>
              <w:right w:type="dxa" w:w="200"/>
            </w:tcMar>
          </w:tcPr>
          <w:p>
            <w:pPr>
              <w:spacing w:after="60"/>
            </w:pPr>
            <w:r>
              <w:rPr>
                <w:rFonts w:ascii="Arial" w:cs="Arial" w:eastAsia="Arial" w:hAnsi="Arial"/>
                <w:color w:val="1C1C2E"/>
                <w:sz w:val="19"/>
                <w:szCs w:val="19"/>
              </w:rPr>
              <w:t xml:space="preserve">1. The full 6-layer system stack with data flow</w:t>
            </w:r>
          </w:p>
          <w:p>
            <w:pPr>
              <w:spacing w:after="60"/>
            </w:pPr>
            <w:r>
              <w:rPr>
                <w:rFonts w:ascii="Arial" w:cs="Arial" w:eastAsia="Arial" w:hAnsi="Arial"/>
                <w:color w:val="1C1C2E"/>
                <w:sz w:val="19"/>
                <w:szCs w:val="19"/>
              </w:rPr>
              <w:t xml:space="preserve">2. The two-database architecture (InsForge agency + Supabase per client)</w:t>
            </w:r>
          </w:p>
          <w:p>
            <w:pPr>
              <w:spacing w:after="60"/>
            </w:pPr>
            <w:r>
              <w:rPr>
                <w:rFonts w:ascii="Arial" w:cs="Arial" w:eastAsia="Arial" w:hAnsi="Arial"/>
                <w:color w:val="1C1C2E"/>
                <w:sz w:val="19"/>
                <w:szCs w:val="19"/>
              </w:rPr>
              <w:t xml:space="preserve">3. Complete agent roster with model assignments and tool permissions</w:t>
            </w:r>
          </w:p>
          <w:p>
            <w:pPr>
              <w:spacing w:after="60"/>
            </w:pPr>
            <w:r>
              <w:rPr>
                <w:rFonts w:ascii="Arial" w:cs="Arial" w:eastAsia="Arial" w:hAnsi="Arial"/>
                <w:color w:val="1C1C2E"/>
                <w:sz w:val="19"/>
                <w:szCs w:val="19"/>
              </w:rPr>
              <w:t xml:space="preserve">4. The core revenue workflow: Lead Found → SMS Conversation → Appointment Booked</w:t>
            </w:r>
          </w:p>
          <w:p>
            <w:pPr>
              <w:spacing w:after="60"/>
            </w:pPr>
            <w:r>
              <w:rPr>
                <w:rFonts w:ascii="Arial" w:cs="Arial" w:eastAsia="Arial" w:hAnsi="Arial"/>
                <w:color w:val="1C1C2E"/>
                <w:sz w:val="19"/>
                <w:szCs w:val="19"/>
              </w:rPr>
              <w:t xml:space="preserve">5. Client onboarding template (DFY) and white-label upgrade path</w:t>
            </w:r>
          </w:p>
          <w:p>
            <w:pPr>
              <w:spacing w:after="60"/>
            </w:pPr>
            <w:r>
              <w:rPr>
                <w:rFonts w:ascii="Arial" w:cs="Arial" w:eastAsia="Arial" w:hAnsi="Arial"/>
                <w:color w:val="1C1C2E"/>
                <w:sz w:val="19"/>
                <w:szCs w:val="19"/>
              </w:rPr>
              <w:t xml:space="preserve">6. VPS deployment architecture and Docker Compose service map</w:t>
            </w:r>
          </w:p>
          <w:p>
            <w:pPr>
              <w:spacing w:after="60"/>
            </w:pPr>
            <w:r>
              <w:rPr>
                <w:rFonts w:ascii="Arial" w:cs="Arial" w:eastAsia="Arial" w:hAnsi="Arial"/>
                <w:color w:val="1C1C2E"/>
                <w:sz w:val="19"/>
                <w:szCs w:val="19"/>
              </w:rPr>
              <w:t xml:space="preserve">7. Phased build sequence ready for Claude Code execution</w:t>
            </w:r>
          </w:p>
        </w:tc>
      </w:tr>
    </w:tbl>
    <w:p>
      <w:pPr>
        <w:spacing w:after="160"/>
      </w:pPr>
      <w:r>
        <w:t xml:space="preserve"/>
      </w:r>
    </w:p>
    <w:p>
      <w:r>
        <w:br w:type="page"/>
      </w:r>
    </w:p>
    <w:p>
      <w:pPr>
        <w:pStyle w:val="Heading1"/>
        <w:shd w:fill="0D1B2A" w:val="clear"/>
        <w:spacing w:after="240" w:before="480"/>
        <w:ind w:left="200" w:right="200"/>
      </w:pPr>
      <w:r>
        <w:rPr>
          <w:rFonts w:ascii="Arial" w:cs="Arial" w:eastAsia="Arial" w:hAnsi="Arial"/>
          <w:b/>
          <w:bCs/>
          <w:color w:val="FFFFFF"/>
          <w:sz w:val="34"/>
          <w:szCs w:val="34"/>
        </w:rPr>
        <w:t xml:space="preserve">2. System Stack Overview</w:t>
      </w:r>
    </w:p>
    <w:p>
      <w:pPr>
        <w:spacing w:after="80"/>
      </w:pPr>
      <w:r>
        <w:t xml:space="preserve"/>
      </w:r>
    </w:p>
    <w:p>
      <w:pPr>
        <w:spacing w:after="160"/>
      </w:pPr>
      <w:r>
        <w:rPr>
          <w:rFonts w:ascii="Arial" w:cs="Arial" w:eastAsia="Arial" w:hAnsi="Arial"/>
          <w:color w:val="1C1C2E"/>
          <w:sz w:val="20"/>
          <w:szCs w:val="20"/>
        </w:rPr>
        <w:t xml:space="preserve">Six layers. Each layer has one owner, one responsibility, and communicates with adjacent layers through defined interfaces. OpenClaw sits at the centre — it is the only layer with read/write access across all others.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8"/>
              <w:left w:val="single" w:color="1B4F72" w:sz="8"/>
              <w:bottom w:val="single" w:color="1B4F72" w:sz="8"/>
              <w:right w:val="single" w:color="1B4F72" w:sz="8"/>
            </w:tcBorders>
            <w:shd w:fill="1B4F72" w:val="clear"/>
            <w:tcMar>
              <w:top w:type="dxa" w:w="120"/>
              <w:left w:type="dxa" w:w="240"/>
              <w:bottom w:type="dxa" w:w="120"/>
              <w:right w:type="dxa" w:w="240"/>
            </w:tcMar>
          </w:tcPr>
          <w:p>
            <w:pPr>
              <w:spacing w:after="60"/>
            </w:pPr>
            <w:r>
              <w:rPr>
                <w:rFonts w:ascii="Arial" w:cs="Arial" w:eastAsia="Arial" w:hAnsi="Arial"/>
                <w:b/>
                <w:bCs/>
                <w:color w:val="FFFFFF"/>
                <w:sz w:val="24"/>
                <w:szCs w:val="24"/>
              </w:rPr>
              <w:t xml:space="preserve">CLIENT PORTAL  </w:t>
            </w:r>
            <w:r>
              <w:rPr>
                <w:rFonts w:ascii="Arial" w:cs="Arial" w:eastAsia="Arial" w:hAnsi="Arial"/>
                <w:b/>
                <w:bCs/>
                <w:color w:val="FFFFFF"/>
                <w:sz w:val="22"/>
                <w:szCs w:val="22"/>
              </w:rPr>
              <w:t xml:space="preserve">What the client sees</w:t>
            </w:r>
            <w:r>
              <w:rPr>
                <w:rFonts w:ascii="Arial" w:cs="Arial" w:eastAsia="Arial" w:hAnsi="Arial"/>
                <w:i/>
                <w:iCs/>
                <w:color w:val="FFFFFF"/>
                <w:sz w:val="18"/>
                <w:szCs w:val="18"/>
              </w:rPr>
              <w:t xml:space="preserve">  ·  Supabase-backed dashboard</w:t>
            </w:r>
          </w:p>
          <w:p>
            <w:pPr>
              <w:spacing w:after="60"/>
            </w:pPr>
            <w:r>
              <w:rPr>
                <w:rFonts w:ascii="Arial" w:cs="Arial" w:eastAsia="Arial" w:hAnsi="Arial"/>
                <w:color w:val="FFFFFF"/>
                <w:sz w:val="18"/>
                <w:szCs w:val="18"/>
              </w:rPr>
              <w:t xml:space="preserve">Leads table · Appointment calendar · SMS conversation log · Revenue metrics · Campaign status</w:t>
            </w:r>
          </w:p>
        </w:tc>
      </w:tr>
    </w:tbl>
    <w:p>
      <w:pPr>
        <w:spacing w:after="40" w:before="40"/>
        <w:jc w:val="center"/>
      </w:pPr>
      <w:r>
        <w:rPr>
          <w:rFonts w:ascii="Arial" w:cs="Arial" w:eastAsia="Arial" w:hAnsi="Arial"/>
          <w:i/>
          <w:iCs/>
          <w:color w:val="4A5568"/>
          <w:sz w:val="16"/>
          <w:szCs w:val="16"/>
        </w:rPr>
        <w:t xml:space="preserve">↕  REST API (InsForge CRM) + Supabase Realtime (client data)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8"/>
              <w:left w:val="single" w:color="2C3E50" w:sz="8"/>
              <w:bottom w:val="single" w:color="2C3E50" w:sz="8"/>
              <w:right w:val="single" w:color="2C3E50" w:sz="8"/>
            </w:tcBorders>
            <w:shd w:fill="2C3E50" w:val="clear"/>
            <w:tcMar>
              <w:top w:type="dxa" w:w="120"/>
              <w:left w:type="dxa" w:w="240"/>
              <w:bottom w:type="dxa" w:w="120"/>
              <w:right w:type="dxa" w:w="240"/>
            </w:tcMar>
          </w:tcPr>
          <w:p>
            <w:pPr>
              <w:spacing w:after="60"/>
            </w:pPr>
            <w:r>
              <w:rPr>
                <w:rFonts w:ascii="Arial" w:cs="Arial" w:eastAsia="Arial" w:hAnsi="Arial"/>
                <w:b/>
                <w:bCs/>
                <w:color w:val="FFFFFF"/>
                <w:sz w:val="24"/>
                <w:szCs w:val="24"/>
              </w:rPr>
              <w:t xml:space="preserve">AGENCY MASTER  </w:t>
            </w:r>
            <w:r>
              <w:rPr>
                <w:rFonts w:ascii="Arial" w:cs="Arial" w:eastAsia="Arial" w:hAnsi="Arial"/>
                <w:b/>
                <w:bCs/>
                <w:color w:val="FFFFFF"/>
                <w:sz w:val="22"/>
                <w:szCs w:val="22"/>
              </w:rPr>
              <w:t xml:space="preserve">What you see</w:t>
            </w:r>
            <w:r>
              <w:rPr>
                <w:rFonts w:ascii="Arial" w:cs="Arial" w:eastAsia="Arial" w:hAnsi="Arial"/>
                <w:i/>
                <w:iCs/>
                <w:color w:val="FFFFFF"/>
                <w:sz w:val="18"/>
                <w:szCs w:val="18"/>
              </w:rPr>
              <w:t xml:space="preserve">  ·  InsForge dashboard</w:t>
            </w:r>
          </w:p>
          <w:p>
            <w:pPr>
              <w:spacing w:after="60"/>
            </w:pPr>
            <w:r>
              <w:rPr>
                <w:rFonts w:ascii="Arial" w:cs="Arial" w:eastAsia="Arial" w:hAnsi="Arial"/>
                <w:color w:val="FFFFFF"/>
                <w:sz w:val="18"/>
                <w:szCs w:val="18"/>
              </w:rPr>
              <w:t xml:space="preserve">All clients · Pipeline health · Agent status · Revenue across accounts · Billing</w:t>
            </w:r>
          </w:p>
        </w:tc>
      </w:tr>
    </w:tbl>
    <w:p>
      <w:pPr>
        <w:spacing w:after="40" w:before="40"/>
        <w:jc w:val="center"/>
      </w:pPr>
      <w:r>
        <w:rPr>
          <w:rFonts w:ascii="Arial" w:cs="Arial" w:eastAsia="Arial" w:hAnsi="Arial"/>
          <w:i/>
          <w:iCs/>
          <w:color w:val="4A5568"/>
          <w:sz w:val="16"/>
          <w:szCs w:val="16"/>
        </w:rPr>
        <w:t xml:space="preserve">↕  MCP read/write · Supabase SDK per client · REST API calls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8"/>
              <w:left w:val="single" w:color="1A6B3C" w:sz="8"/>
              <w:bottom w:val="single" w:color="1A6B3C" w:sz="8"/>
              <w:right w:val="single" w:color="1A6B3C" w:sz="8"/>
            </w:tcBorders>
            <w:shd w:fill="1A6B3C" w:val="clear"/>
            <w:tcMar>
              <w:top w:type="dxa" w:w="120"/>
              <w:left w:type="dxa" w:w="240"/>
              <w:bottom w:type="dxa" w:w="120"/>
              <w:right w:type="dxa" w:w="240"/>
            </w:tcMar>
          </w:tcPr>
          <w:p>
            <w:pPr>
              <w:spacing w:after="60"/>
            </w:pPr>
            <w:r>
              <w:rPr>
                <w:rFonts w:ascii="Arial" w:cs="Arial" w:eastAsia="Arial" w:hAnsi="Arial"/>
                <w:b/>
                <w:bCs/>
                <w:color w:val="FFFFFF"/>
                <w:sz w:val="24"/>
                <w:szCs w:val="24"/>
              </w:rPr>
              <w:t xml:space="preserve">OPENCLAW  </w:t>
            </w:r>
            <w:r>
              <w:rPr>
                <w:rFonts w:ascii="Arial" w:cs="Arial" w:eastAsia="Arial" w:hAnsi="Arial"/>
                <w:b/>
                <w:bCs/>
                <w:color w:val="FFFFFF"/>
                <w:sz w:val="22"/>
                <w:szCs w:val="22"/>
              </w:rPr>
              <w:t xml:space="preserve">The AI brain</w:t>
            </w:r>
            <w:r>
              <w:rPr>
                <w:rFonts w:ascii="Arial" w:cs="Arial" w:eastAsia="Arial" w:hAnsi="Arial"/>
                <w:i/>
                <w:iCs/>
                <w:color w:val="FFFFFF"/>
                <w:sz w:val="18"/>
                <w:szCs w:val="18"/>
              </w:rPr>
              <w:t xml:space="preserve">  ·  Orchestrator + all sub-agents</w:t>
            </w:r>
          </w:p>
          <w:p>
            <w:pPr>
              <w:spacing w:after="60"/>
            </w:pPr>
            <w:r>
              <w:rPr>
                <w:rFonts w:ascii="Arial" w:cs="Arial" w:eastAsia="Arial" w:hAnsi="Arial"/>
                <w:color w:val="FFFFFF"/>
                <w:sz w:val="18"/>
                <w:szCs w:val="18"/>
              </w:rPr>
              <w:t xml:space="preserve">Routes every trigger · Spawns specialist agents · Manages cron jobs · Holds Soul.md + User.md memory</w:t>
            </w:r>
          </w:p>
        </w:tc>
      </w:tr>
    </w:tbl>
    <w:p>
      <w:pPr>
        <w:spacing w:after="40" w:before="40"/>
        <w:jc w:val="center"/>
      </w:pPr>
      <w:r>
        <w:rPr>
          <w:rFonts w:ascii="Arial" w:cs="Arial" w:eastAsia="Arial" w:hAnsi="Arial"/>
          <w:i/>
          <w:iCs/>
          <w:color w:val="4A5568"/>
          <w:sz w:val="16"/>
          <w:szCs w:val="16"/>
        </w:rPr>
        <w:t xml:space="preserve">↕  MCP · Twilio API · Cal.com API · Smartlead API · gws MCP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E35B1" w:sz="8"/>
              <w:left w:val="single" w:color="5E35B1" w:sz="8"/>
              <w:bottom w:val="single" w:color="5E35B1" w:sz="8"/>
              <w:right w:val="single" w:color="5E35B1" w:sz="8"/>
            </w:tcBorders>
            <w:shd w:fill="5E35B1" w:val="clear"/>
            <w:tcMar>
              <w:top w:type="dxa" w:w="120"/>
              <w:left w:type="dxa" w:w="240"/>
              <w:bottom w:type="dxa" w:w="120"/>
              <w:right w:type="dxa" w:w="240"/>
            </w:tcMar>
          </w:tcPr>
          <w:p>
            <w:pPr>
              <w:spacing w:after="60"/>
            </w:pPr>
            <w:r>
              <w:rPr>
                <w:rFonts w:ascii="Arial" w:cs="Arial" w:eastAsia="Arial" w:hAnsi="Arial"/>
                <w:b/>
                <w:bCs/>
                <w:color w:val="FFFFFF"/>
                <w:sz w:val="24"/>
                <w:szCs w:val="24"/>
              </w:rPr>
              <w:t xml:space="preserve">COMMUNICATION LAYER  </w:t>
            </w:r>
            <w:r>
              <w:rPr>
                <w:rFonts w:ascii="Arial" w:cs="Arial" w:eastAsia="Arial" w:hAnsi="Arial"/>
                <w:b/>
                <w:bCs/>
                <w:color w:val="FFFFFF"/>
                <w:sz w:val="22"/>
                <w:szCs w:val="22"/>
              </w:rPr>
              <w:t xml:space="preserve">How leads are contacted</w:t>
            </w:r>
            <w:r>
              <w:rPr>
                <w:rFonts w:ascii="Arial" w:cs="Arial" w:eastAsia="Arial" w:hAnsi="Arial"/>
                <w:i/>
                <w:iCs/>
                <w:color w:val="FFFFFF"/>
                <w:sz w:val="18"/>
                <w:szCs w:val="18"/>
              </w:rPr>
              <w:t xml:space="preserve">  ·  Twilio · Smartlead · Cal.com</w:t>
            </w:r>
          </w:p>
          <w:p>
            <w:pPr>
              <w:spacing w:after="60"/>
            </w:pPr>
            <w:r>
              <w:rPr>
                <w:rFonts w:ascii="Arial" w:cs="Arial" w:eastAsia="Arial" w:hAnsi="Arial"/>
                <w:color w:val="FFFFFF"/>
                <w:sz w:val="18"/>
                <w:szCs w:val="18"/>
              </w:rPr>
              <w:t xml:space="preserve">Twilio: 2-way SMS conversations with leads  ·  Smartlead: cold email sequences (optional)  ·  Cal.com: appointment booking links + webhook confirmations</w:t>
            </w:r>
          </w:p>
        </w:tc>
      </w:tr>
    </w:tbl>
    <w:p>
      <w:pPr>
        <w:spacing w:after="40" w:before="40"/>
        <w:jc w:val="center"/>
      </w:pPr>
      <w:r>
        <w:rPr>
          <w:rFonts w:ascii="Arial" w:cs="Arial" w:eastAsia="Arial" w:hAnsi="Arial"/>
          <w:i/>
          <w:iCs/>
          <w:color w:val="4A5568"/>
          <w:sz w:val="16"/>
          <w:szCs w:val="16"/>
        </w:rPr>
        <w:t xml:space="preserve">↕  Lead data flows up · Booking confirmations flow up · Reply triggers flow up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8"/>
              <w:left w:val="single" w:color="0D1B2A" w:sz="8"/>
              <w:bottom w:val="single" w:color="0D1B2A" w:sz="8"/>
              <w:right w:val="single" w:color="0D1B2A" w:sz="8"/>
            </w:tcBorders>
            <w:shd w:fill="0D1B2A" w:val="clear"/>
            <w:tcMar>
              <w:top w:type="dxa" w:w="120"/>
              <w:left w:type="dxa" w:w="240"/>
              <w:bottom w:type="dxa" w:w="120"/>
              <w:right w:type="dxa" w:w="240"/>
            </w:tcMar>
          </w:tcPr>
          <w:p>
            <w:pPr>
              <w:spacing w:after="60"/>
            </w:pPr>
            <w:r>
              <w:rPr>
                <w:rFonts w:ascii="Arial" w:cs="Arial" w:eastAsia="Arial" w:hAnsi="Arial"/>
                <w:b/>
                <w:bCs/>
                <w:color w:val="FFFFFF"/>
                <w:sz w:val="24"/>
                <w:szCs w:val="24"/>
              </w:rPr>
              <w:t xml:space="preserve">DATA LAYER  </w:t>
            </w:r>
            <w:r>
              <w:rPr>
                <w:rFonts w:ascii="Arial" w:cs="Arial" w:eastAsia="Arial" w:hAnsi="Arial"/>
                <w:b/>
                <w:bCs/>
                <w:color w:val="FFFFFF"/>
                <w:sz w:val="22"/>
                <w:szCs w:val="22"/>
              </w:rPr>
              <w:t xml:space="preserve">Where everything is stored</w:t>
            </w:r>
            <w:r>
              <w:rPr>
                <w:rFonts w:ascii="Arial" w:cs="Arial" w:eastAsia="Arial" w:hAnsi="Arial"/>
                <w:i/>
                <w:iCs/>
                <w:color w:val="FFFFFF"/>
                <w:sz w:val="18"/>
                <w:szCs w:val="18"/>
              </w:rPr>
              <w:t xml:space="preserve">  ·  InsForge (agency) + Supabase (per client)</w:t>
            </w:r>
          </w:p>
          <w:p>
            <w:pPr>
              <w:spacing w:after="60"/>
            </w:pPr>
            <w:r>
              <w:rPr>
                <w:rFonts w:ascii="Arial" w:cs="Arial" w:eastAsia="Arial" w:hAnsi="Arial"/>
                <w:color w:val="FFFFFF"/>
                <w:sz w:val="18"/>
                <w:szCs w:val="18"/>
              </w:rPr>
              <w:t xml:space="preserve">InsForge: agency ops, agent logs, billing, cross-client metrics  ·  Supabase: one isolated project per client — leads, SMS threads, appointments, notes</w:t>
            </w:r>
          </w:p>
        </w:tc>
      </w:tr>
    </w:tbl>
    <w:p>
      <w:pPr>
        <w:spacing w:after="40" w:before="40"/>
        <w:jc w:val="center"/>
      </w:pPr>
      <w:r>
        <w:rPr>
          <w:rFonts w:ascii="Arial" w:cs="Arial" w:eastAsia="Arial" w:hAnsi="Arial"/>
          <w:i/>
          <w:iCs/>
          <w:color w:val="4A5568"/>
          <w:sz w:val="16"/>
          <w:szCs w:val="16"/>
        </w:rPr>
        <w:t xml:space="preserve">↕  Scraped from Google Maps via Lead Sniper · Enriched via Hunter.io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545" w:sz="8"/>
              <w:left w:val="single" w:color="E84545" w:sz="8"/>
              <w:bottom w:val="single" w:color="E84545" w:sz="8"/>
              <w:right w:val="single" w:color="E84545" w:sz="8"/>
            </w:tcBorders>
            <w:shd w:fill="E84545" w:val="clear"/>
            <w:tcMar>
              <w:top w:type="dxa" w:w="120"/>
              <w:left w:type="dxa" w:w="240"/>
              <w:bottom w:type="dxa" w:w="120"/>
              <w:right w:type="dxa" w:w="240"/>
            </w:tcMar>
          </w:tcPr>
          <w:p>
            <w:pPr>
              <w:spacing w:after="60"/>
            </w:pPr>
            <w:r>
              <w:rPr>
                <w:rFonts w:ascii="Arial" w:cs="Arial" w:eastAsia="Arial" w:hAnsi="Arial"/>
                <w:b/>
                <w:bCs/>
                <w:color w:val="FFFFFF"/>
                <w:sz w:val="24"/>
                <w:szCs w:val="24"/>
              </w:rPr>
              <w:t xml:space="preserve">LEAD SOURCE  </w:t>
            </w:r>
            <w:r>
              <w:rPr>
                <w:rFonts w:ascii="Arial" w:cs="Arial" w:eastAsia="Arial" w:hAnsi="Arial"/>
                <w:b/>
                <w:bCs/>
                <w:color w:val="FFFFFF"/>
                <w:sz w:val="22"/>
                <w:szCs w:val="22"/>
              </w:rPr>
              <w:t xml:space="preserve">Where leads come from</w:t>
            </w:r>
            <w:r>
              <w:rPr>
                <w:rFonts w:ascii="Arial" w:cs="Arial" w:eastAsia="Arial" w:hAnsi="Arial"/>
                <w:i/>
                <w:iCs/>
                <w:color w:val="FFFFFF"/>
                <w:sz w:val="18"/>
                <w:szCs w:val="18"/>
              </w:rPr>
              <w:t xml:space="preserve">  ·  Lead Sniper AI · Google Maps</w:t>
            </w:r>
          </w:p>
          <w:p>
            <w:pPr>
              <w:spacing w:after="60"/>
            </w:pPr>
            <w:r>
              <w:rPr>
                <w:rFonts w:ascii="Arial" w:cs="Arial" w:eastAsia="Arial" w:hAnsi="Arial"/>
                <w:color w:val="FFFFFF"/>
                <w:sz w:val="18"/>
                <w:szCs w:val="18"/>
              </w:rPr>
              <w:t xml:space="preserve">Scrapes plumbers and HVAC contractors in Metro Vancouver · Exports to Google Sheet · Ingested by Lead Ingestion Agent every 6 hours</w:t>
            </w:r>
          </w:p>
        </w:tc>
      </w:tr>
    </w:tbl>
    <w:p>
      <w:pPr>
        <w:spacing w:after="160"/>
      </w:pPr>
      <w:r>
        <w:t xml:space="preserve"/>
      </w:r>
    </w:p>
    <w:p>
      <w:pPr>
        <w:pStyle w:val="Heading2"/>
        <w:pBdr>
          <w:bottom w:val="single" w:color="00B4D8" w:sz="6" w:space="1"/>
        </w:pBdr>
        <w:spacing w:after="160" w:before="360"/>
      </w:pPr>
      <w:r>
        <w:rPr>
          <w:rFonts w:ascii="Arial" w:cs="Arial" w:eastAsia="Arial" w:hAnsi="Arial"/>
          <w:b/>
          <w:bCs/>
          <w:color w:val="1B4F72"/>
          <w:sz w:val="26"/>
          <w:szCs w:val="26"/>
        </w:rPr>
        <w:t xml:space="preserve">2.1 Stack Responsibilities at a Glance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tblHeader/>
        </w:trPr>
        <w:tc>
          <w:tcPr>
            <w:tcW w:type="dxa" w:w="2200"/>
            <w:tcBorders>
              <w:top w:val="single" w:color="2C3E50" w:sz="6"/>
              <w:left w:val="single" w:color="2C3E50" w:sz="6"/>
              <w:bottom w:val="single" w:color="2C3E50" w:sz="6"/>
              <w:right w:val="single" w:color="2C3E50" w:sz="6"/>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2800"/>
            <w:tcBorders>
              <w:top w:val="single" w:color="2C3E50" w:sz="6"/>
              <w:left w:val="single" w:color="2C3E50" w:sz="6"/>
              <w:bottom w:val="single" w:color="2C3E50" w:sz="6"/>
              <w:right w:val="single" w:color="2C3E50" w:sz="6"/>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200"/>
            <w:tcBorders>
              <w:top w:val="single" w:color="2C3E50" w:sz="6"/>
              <w:left w:val="single" w:color="2C3E50" w:sz="6"/>
              <w:bottom w:val="single" w:color="2C3E50" w:sz="6"/>
              <w:right w:val="single" w:color="2C3E50" w:sz="6"/>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Accessed By</w:t>
            </w:r>
          </w:p>
        </w:tc>
        <w:tc>
          <w:tcPr>
            <w:tcW w:type="dxa" w:w="2160"/>
            <w:tcBorders>
              <w:top w:val="single" w:color="2C3E50" w:sz="6"/>
              <w:left w:val="single" w:color="2C3E50" w:sz="6"/>
              <w:bottom w:val="single" w:color="2C3E50" w:sz="6"/>
              <w:right w:val="single" w:color="2C3E50" w:sz="6"/>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Who Pays</w:t>
            </w:r>
          </w:p>
        </w:tc>
      </w:tr>
      <w:tr>
        <w:trPr>
          <w:tblHeader w:val="false"/>
        </w:trPr>
        <w:tc>
          <w:tcPr>
            <w:tcW w:type="dxa" w:w="22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OpenClaw</w:t>
            </w:r>
          </w:p>
        </w:tc>
        <w:tc>
          <w:tcPr>
            <w:tcW w:type="dxa" w:w="28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AI orchestrator — runs all agents and cron jobs</w:t>
            </w:r>
          </w:p>
        </w:tc>
        <w:tc>
          <w:tcPr>
            <w:tcW w:type="dxa" w:w="22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Everything</w:t>
            </w:r>
          </w:p>
        </w:tc>
        <w:tc>
          <w:tcPr>
            <w:tcW w:type="dxa" w:w="21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KlickSmart (agency cost)</w:t>
            </w:r>
          </w:p>
        </w:tc>
      </w:tr>
      <w:tr>
        <w:trPr>
          <w:tblHeader w:val="false"/>
        </w:trPr>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InsForge</w:t>
            </w:r>
          </w:p>
        </w:tc>
        <w:tc>
          <w:tcPr>
            <w:tcW w:type="dxa" w:w="2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Agency CRM + agent ops database + master dashboard</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Agency only</w:t>
            </w:r>
          </w:p>
        </w:tc>
        <w:tc>
          <w:tcPr>
            <w:tcW w:type="dxa" w:w="2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KlickSmart (agency cost)</w:t>
            </w:r>
          </w:p>
        </w:tc>
      </w:tr>
      <w:tr>
        <w:trPr>
          <w:tblHeader w:val="false"/>
        </w:trPr>
        <w:tc>
          <w:tcPr>
            <w:tcW w:type="dxa" w:w="22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Supabase</w:t>
            </w:r>
          </w:p>
        </w:tc>
        <w:tc>
          <w:tcPr>
            <w:tcW w:type="dxa" w:w="28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Per-client database — leads, SMS, bookings (1 project per client)</w:t>
            </w:r>
          </w:p>
        </w:tc>
        <w:tc>
          <w:tcPr>
            <w:tcW w:type="dxa" w:w="22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OpenClaw + client portal</w:t>
            </w:r>
          </w:p>
        </w:tc>
        <w:tc>
          <w:tcPr>
            <w:tcW w:type="dxa" w:w="21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Per client (~$25/mo)</w:t>
            </w:r>
          </w:p>
        </w:tc>
      </w:tr>
      <w:tr>
        <w:trPr>
          <w:tblHeader w:val="false"/>
        </w:trPr>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Twilio</w:t>
            </w:r>
          </w:p>
        </w:tc>
        <w:tc>
          <w:tcPr>
            <w:tcW w:type="dxa" w:w="2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2-way SMS conversations with leads</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OpenClaw SMS agents</w:t>
            </w:r>
          </w:p>
        </w:tc>
        <w:tc>
          <w:tcPr>
            <w:tcW w:type="dxa" w:w="2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Per client (usage-based)</w:t>
            </w:r>
          </w:p>
        </w:tc>
      </w:tr>
      <w:tr>
        <w:trPr>
          <w:tblHeader w:val="false"/>
        </w:trPr>
        <w:tc>
          <w:tcPr>
            <w:tcW w:type="dxa" w:w="22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Cal.com</w:t>
            </w:r>
          </w:p>
        </w:tc>
        <w:tc>
          <w:tcPr>
            <w:tcW w:type="dxa" w:w="28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Appointment booking — hosted scheduling pages + webhooks</w:t>
            </w:r>
          </w:p>
        </w:tc>
        <w:tc>
          <w:tcPr>
            <w:tcW w:type="dxa" w:w="22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OpenClaw + client portal</w:t>
            </w:r>
          </w:p>
        </w:tc>
        <w:tc>
          <w:tcPr>
            <w:tcW w:type="dxa" w:w="21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Per client ($12/mo)</w:t>
            </w:r>
          </w:p>
        </w:tc>
      </w:tr>
      <w:tr>
        <w:trPr>
          <w:tblHeader w:val="false"/>
        </w:trPr>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Smartlead</w:t>
            </w:r>
          </w:p>
        </w:tc>
        <w:tc>
          <w:tcPr>
            <w:tcW w:type="dxa" w:w="2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Cold email sequences (optional add-on)</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OpenClaw outreach agents</w:t>
            </w:r>
          </w:p>
        </w:tc>
        <w:tc>
          <w:tcPr>
            <w:tcW w:type="dxa" w:w="2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Per client ($39/mo)</w:t>
            </w:r>
          </w:p>
        </w:tc>
      </w:tr>
      <w:tr>
        <w:trPr>
          <w:tblHeader w:val="false"/>
        </w:trPr>
        <w:tc>
          <w:tcPr>
            <w:tcW w:type="dxa" w:w="22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Lead Sniper AI</w:t>
            </w:r>
          </w:p>
        </w:tc>
        <w:tc>
          <w:tcPr>
            <w:tcW w:type="dxa" w:w="28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Google Maps scraping for plumber/HVAC leads</w:t>
            </w:r>
          </w:p>
        </w:tc>
        <w:tc>
          <w:tcPr>
            <w:tcW w:type="dxa" w:w="22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Lead Ingestion Agent</w:t>
            </w:r>
          </w:p>
        </w:tc>
        <w:tc>
          <w:tcPr>
            <w:tcW w:type="dxa" w:w="21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KlickSmart (agency tool)</w:t>
            </w:r>
          </w:p>
        </w:tc>
      </w:tr>
      <w:tr>
        <w:trPr>
          <w:tblHeader w:val="false"/>
        </w:trPr>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Hunter.io</w:t>
            </w:r>
          </w:p>
        </w:tc>
        <w:tc>
          <w:tcPr>
            <w:tcW w:type="dxa" w:w="2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Email finding + verification</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Enrichment Agent</w:t>
            </w:r>
          </w:p>
        </w:tc>
        <w:tc>
          <w:tcPr>
            <w:tcW w:type="dxa" w:w="2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KlickSmart (agency cost)</w:t>
            </w:r>
          </w:p>
        </w:tc>
      </w:tr>
      <w:tr>
        <w:trPr>
          <w:tblHeader w:val="false"/>
        </w:trPr>
        <w:tc>
          <w:tcPr>
            <w:tcW w:type="dxa" w:w="22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Google Workspace CLI</w:t>
            </w:r>
          </w:p>
        </w:tc>
        <w:tc>
          <w:tcPr>
            <w:tcW w:type="dxa" w:w="28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Gmail + Sheets + Calendar access via MCP</w:t>
            </w:r>
          </w:p>
        </w:tc>
        <w:tc>
          <w:tcPr>
            <w:tcW w:type="dxa" w:w="22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Reporting agents</w:t>
            </w:r>
          </w:p>
        </w:tc>
        <w:tc>
          <w:tcPr>
            <w:tcW w:type="dxa" w:w="21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KlickSmart (agency cost)</w:t>
            </w:r>
          </w:p>
        </w:tc>
      </w:tr>
    </w:tbl>
    <w:p>
      <w:pPr>
        <w:spacing w:after="160"/>
      </w:pPr>
      <w:r>
        <w:t xml:space="preserve"/>
      </w:r>
    </w:p>
    <w:p>
      <w:r>
        <w:br w:type="page"/>
      </w:r>
    </w:p>
    <w:p>
      <w:pPr>
        <w:pStyle w:val="Heading1"/>
        <w:shd w:fill="0D1B2A" w:val="clear"/>
        <w:spacing w:after="240" w:before="480"/>
        <w:ind w:left="200" w:right="200"/>
      </w:pPr>
      <w:r>
        <w:rPr>
          <w:rFonts w:ascii="Arial" w:cs="Arial" w:eastAsia="Arial" w:hAnsi="Arial"/>
          <w:b/>
          <w:bCs/>
          <w:color w:val="FFFFFF"/>
          <w:sz w:val="34"/>
          <w:szCs w:val="34"/>
        </w:rPr>
        <w:t xml:space="preserve">3. Database Architecture</w:t>
      </w:r>
    </w:p>
    <w:p>
      <w:pPr>
        <w:spacing w:after="80"/>
      </w:pPr>
      <w:r>
        <w:t xml:space="preserve"/>
      </w:r>
    </w:p>
    <w:p>
      <w:pPr>
        <w:spacing w:after="160"/>
      </w:pPr>
      <w:r>
        <w:rPr>
          <w:rFonts w:ascii="Arial" w:cs="Arial" w:eastAsia="Arial" w:hAnsi="Arial"/>
          <w:color w:val="1C1C2E"/>
          <w:sz w:val="20"/>
          <w:szCs w:val="20"/>
        </w:rPr>
        <w:t xml:space="preserve">Two databases serve two different purposes. They are never merged. OpenClaw is the only system that reads from both.</w:t>
      </w:r>
    </w:p>
    <w:p>
      <w:pPr>
        <w:spacing w:after="160"/>
      </w:pPr>
      <w:r>
        <w:t xml:space="preserve"/>
      </w:r>
    </w:p>
    <w:p>
      <w:pPr>
        <w:pStyle w:val="Heading2"/>
        <w:pBdr>
          <w:bottom w:val="single" w:color="00B4D8" w:sz="6" w:space="1"/>
        </w:pBdr>
        <w:spacing w:after="160" w:before="360"/>
      </w:pPr>
      <w:r>
        <w:rPr>
          <w:rFonts w:ascii="Arial" w:cs="Arial" w:eastAsia="Arial" w:hAnsi="Arial"/>
          <w:b/>
          <w:bCs/>
          <w:color w:val="1B4F72"/>
          <w:sz w:val="26"/>
          <w:szCs w:val="26"/>
        </w:rPr>
        <w:t xml:space="preserve">3.1 InsForge — Agency Operations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0B4D8"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PURPOSE</w:t>
            </w:r>
          </w:p>
        </w:tc>
        <w:tc>
          <w:tcPr>
            <w:tcW w:type="dxa" w:w="7920"/>
            <w:tcBorders>
              <w:top w:val="single" w:color="E0F7FA" w:sz="8"/>
              <w:left w:val="none" w:color="FFFFFF" w:sz="0"/>
              <w:bottom w:val="single" w:color="E0F7FA" w:sz="8"/>
              <w:right w:val="single" w:color="E0F7FA" w:sz="8"/>
            </w:tcBorders>
            <w:shd w:fill="E0F7FA" w:val="clear"/>
            <w:tcMar>
              <w:top w:type="dxa" w:w="120"/>
              <w:left w:type="dxa" w:w="160"/>
              <w:bottom w:type="dxa" w:w="120"/>
              <w:right w:type="dxa" w:w="200"/>
            </w:tcMar>
          </w:tcPr>
          <w:p>
            <w:pPr>
              <w:spacing w:after="60"/>
            </w:pPr>
            <w:r>
              <w:rPr>
                <w:rFonts w:ascii="Arial" w:cs="Arial" w:eastAsia="Arial" w:hAnsi="Arial"/>
                <w:color w:val="1C1C2E"/>
                <w:sz w:val="19"/>
                <w:szCs w:val="19"/>
              </w:rPr>
              <w:t xml:space="preserve">Tracks everything that belongs to KlickSmart as an agency: client accounts, agent health, billing, cross-client metrics, and the master ops log. No client lead data lives here.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00B4D8" w:sz="6"/>
              <w:left w:val="single" w:color="00B4D8" w:sz="6"/>
              <w:bottom w:val="single" w:color="00B4D8" w:sz="6"/>
              <w:right w:val="single" w:color="00B4D8" w:sz="6"/>
            </w:tcBorders>
            <w:shd w:fill="00B4D8"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4560"/>
            <w:tcBorders>
              <w:top w:val="single" w:color="00B4D8" w:sz="6"/>
              <w:left w:val="single" w:color="00B4D8" w:sz="6"/>
              <w:bottom w:val="single" w:color="00B4D8" w:sz="6"/>
              <w:right w:val="single" w:color="00B4D8" w:sz="6"/>
            </w:tcBorders>
            <w:shd w:fill="00B4D8" w:val="clear"/>
            <w:tcMar>
              <w:top w:type="dxa" w:w="80"/>
              <w:left w:type="dxa" w:w="120"/>
              <w:bottom w:type="dxa" w:w="80"/>
              <w:right w:type="dxa" w:w="120"/>
            </w:tcMar>
          </w:tcPr>
          <w:p>
            <w:r>
              <w:rPr>
                <w:rFonts w:ascii="Arial" w:cs="Arial" w:eastAsia="Arial" w:hAnsi="Arial"/>
                <w:b/>
                <w:bCs/>
                <w:color w:val="FFFFFF"/>
                <w:sz w:val="18"/>
                <w:szCs w:val="18"/>
              </w:rPr>
              <w:t xml:space="preserve">Key Fields</w:t>
            </w:r>
          </w:p>
        </w:tc>
        <w:tc>
          <w:tcPr>
            <w:tcW w:type="dxa" w:w="2800"/>
            <w:tcBorders>
              <w:top w:val="single" w:color="00B4D8" w:sz="6"/>
              <w:left w:val="single" w:color="00B4D8" w:sz="6"/>
              <w:bottom w:val="single" w:color="00B4D8" w:sz="6"/>
              <w:right w:val="single" w:color="00B4D8" w:sz="6"/>
            </w:tcBorders>
            <w:shd w:fill="00B4D8" w:val="clear"/>
            <w:tcMar>
              <w:top w:type="dxa" w:w="80"/>
              <w:left w:type="dxa" w:w="120"/>
              <w:bottom w:type="dxa" w:w="80"/>
              <w:right w:type="dxa" w:w="120"/>
            </w:tcMar>
          </w:tcPr>
          <w:p>
            <w:r>
              <w:rPr>
                <w:rFonts w:ascii="Arial" w:cs="Arial" w:eastAsia="Arial" w:hAnsi="Arial"/>
                <w:b/>
                <w:bCs/>
                <w:color w:val="FFFFFF"/>
                <w:sz w:val="18"/>
                <w:szCs w:val="18"/>
              </w:rPr>
              <w:t xml:space="preserve">Used By</w:t>
            </w:r>
          </w:p>
        </w:tc>
      </w:tr>
      <w:tr>
        <w:trPr>
          <w:tblHeader w:val="false"/>
        </w:trPr>
        <w:tc>
          <w:tcPr>
            <w:tcW w:type="dxa" w:w="20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clients</w:t>
            </w:r>
          </w:p>
        </w:tc>
        <w:tc>
          <w:tcPr>
            <w:tcW w:type="dxa" w:w="45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id, business_name, vertical, supabase_project_url, supabase_anon_key, twilio_number, cal_link, status, mrr, onboarded_at</w:t>
            </w:r>
          </w:p>
        </w:tc>
        <w:tc>
          <w:tcPr>
            <w:tcW w:type="dxa" w:w="28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Master dashboard, client provisioning</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agent_log</w:t>
            </w:r>
          </w:p>
        </w:tc>
        <w:tc>
          <w:tcPr>
            <w:tcW w:type="dxa" w:w="45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id, client_id, agent_name, task_type, status, duration_ms, error_msg, created_at</w:t>
            </w:r>
          </w:p>
        </w:tc>
        <w:tc>
          <w:tcPr>
            <w:tcW w:type="dxa" w:w="2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Telemetry Check Agent, Mission Control</w:t>
            </w:r>
          </w:p>
        </w:tc>
      </w:tr>
      <w:tr>
        <w:trPr>
          <w:tblHeader w:val="false"/>
        </w:trPr>
        <w:tc>
          <w:tcPr>
            <w:tcW w:type="dxa" w:w="20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billing</w:t>
            </w:r>
          </w:p>
        </w:tc>
        <w:tc>
          <w:tcPr>
            <w:tcW w:type="dxa" w:w="45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id, client_id, plan, amount, billing_date, status</w:t>
            </w:r>
          </w:p>
        </w:tc>
        <w:tc>
          <w:tcPr>
            <w:tcW w:type="dxa" w:w="28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Agency reporting, Stripe integration</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agency_metrics</w:t>
            </w:r>
          </w:p>
        </w:tc>
        <w:tc>
          <w:tcPr>
            <w:tcW w:type="dxa" w:w="45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date, total_clients, total_leads, total_appointments, total_replies, avg_conversion</w:t>
            </w:r>
          </w:p>
        </w:tc>
        <w:tc>
          <w:tcPr>
            <w:tcW w:type="dxa" w:w="2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Weekly agency report to Dennis</w:t>
            </w:r>
          </w:p>
        </w:tc>
      </w:tr>
    </w:tbl>
    <w:p>
      <w:pPr>
        <w:spacing w:after="160"/>
      </w:pPr>
      <w:r>
        <w:t xml:space="preserve"/>
      </w:r>
    </w:p>
    <w:p>
      <w:pPr>
        <w:pStyle w:val="Heading2"/>
        <w:pBdr>
          <w:bottom w:val="single" w:color="00B4D8" w:sz="6" w:space="1"/>
        </w:pBdr>
        <w:spacing w:after="160" w:before="360"/>
      </w:pPr>
      <w:r>
        <w:rPr>
          <w:rFonts w:ascii="Arial" w:cs="Arial" w:eastAsia="Arial" w:hAnsi="Arial"/>
          <w:b/>
          <w:bCs/>
          <w:color w:val="1B4F72"/>
          <w:sz w:val="26"/>
          <w:szCs w:val="26"/>
        </w:rPr>
        <w:t xml:space="preserve">3.2 Supabase — Per-Client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D4860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PURPOSE</w:t>
            </w:r>
          </w:p>
        </w:tc>
        <w:tc>
          <w:tcPr>
            <w:tcW w:type="dxa" w:w="7920"/>
            <w:tcBorders>
              <w:top w:val="single" w:color="FFF8E1" w:sz="8"/>
              <w:left w:val="none" w:color="FFFFFF" w:sz="0"/>
              <w:bottom w:val="single" w:color="FFF8E1" w:sz="8"/>
              <w:right w:val="single" w:color="FFF8E1" w:sz="8"/>
            </w:tcBorders>
            <w:shd w:fill="FFF8E1" w:val="clear"/>
            <w:tcMar>
              <w:top w:type="dxa" w:w="120"/>
              <w:left w:type="dxa" w:w="160"/>
              <w:bottom w:type="dxa" w:w="120"/>
              <w:right w:type="dxa" w:w="200"/>
            </w:tcMar>
          </w:tcPr>
          <w:p>
            <w:pPr>
              <w:spacing w:after="60"/>
            </w:pPr>
            <w:r>
              <w:rPr>
                <w:rFonts w:ascii="Arial" w:cs="Arial" w:eastAsia="Arial" w:hAnsi="Arial"/>
                <w:color w:val="1C1C2E"/>
                <w:sz w:val="19"/>
                <w:szCs w:val="19"/>
              </w:rPr>
              <w:t xml:space="preserve">Each client gets their own Supabase project. Total data isolation — one client's leads, SMS threads, and appointments are never co-mingled with another client's data. This is the architecture that lets you white-label.</w:t>
            </w:r>
          </w:p>
        </w:tc>
      </w:tr>
    </w:tbl>
    <w:p>
      <w:pPr>
        <w:spacing w:after="80"/>
      </w:pPr>
      <w:r>
        <w:t xml:space="preserve"/>
      </w:r>
    </w:p>
    <w:p>
      <w:pPr>
        <w:spacing w:after="160"/>
      </w:pPr>
      <w:r>
        <w:rPr>
          <w:rFonts w:ascii="Arial" w:cs="Arial" w:eastAsia="Arial" w:hAnsi="Arial"/>
          <w:color w:val="1C1C2E"/>
          <w:sz w:val="20"/>
          <w:szCs w:val="20"/>
        </w:rPr>
        <w:t xml:space="preserve">Schema is identical across all client projects — provisioned from a Supabase template on client onboarding.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rPr>
          <w:tblHeader/>
        </w:trPr>
        <w:tc>
          <w:tcPr>
            <w:tcW w:type="dxa" w:w="2000"/>
            <w:tcBorders>
              <w:top w:val="single" w:color="D4860B" w:sz="6"/>
              <w:left w:val="single" w:color="D4860B" w:sz="6"/>
              <w:bottom w:val="single" w:color="D4860B" w:sz="6"/>
              <w:right w:val="single" w:color="D4860B" w:sz="6"/>
            </w:tcBorders>
            <w:shd w:fill="D4860B"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4160"/>
            <w:tcBorders>
              <w:top w:val="single" w:color="D4860B" w:sz="6"/>
              <w:left w:val="single" w:color="D4860B" w:sz="6"/>
              <w:bottom w:val="single" w:color="D4860B" w:sz="6"/>
              <w:right w:val="single" w:color="D4860B" w:sz="6"/>
            </w:tcBorders>
            <w:shd w:fill="D4860B" w:val="clear"/>
            <w:tcMar>
              <w:top w:type="dxa" w:w="80"/>
              <w:left w:type="dxa" w:w="120"/>
              <w:bottom w:type="dxa" w:w="80"/>
              <w:right w:type="dxa" w:w="120"/>
            </w:tcMar>
          </w:tcPr>
          <w:p>
            <w:r>
              <w:rPr>
                <w:rFonts w:ascii="Arial" w:cs="Arial" w:eastAsia="Arial" w:hAnsi="Arial"/>
                <w:b/>
                <w:bCs/>
                <w:color w:val="FFFFFF"/>
                <w:sz w:val="18"/>
                <w:szCs w:val="18"/>
              </w:rPr>
              <w:t xml:space="preserve">Key Fields</w:t>
            </w:r>
          </w:p>
        </w:tc>
        <w:tc>
          <w:tcPr>
            <w:tcW w:type="dxa" w:w="3200"/>
            <w:tcBorders>
              <w:top w:val="single" w:color="D4860B" w:sz="6"/>
              <w:left w:val="single" w:color="D4860B" w:sz="6"/>
              <w:bottom w:val="single" w:color="D4860B" w:sz="6"/>
              <w:right w:val="single" w:color="D4860B" w:sz="6"/>
            </w:tcBorders>
            <w:shd w:fill="D4860B" w:val="clear"/>
            <w:tcMar>
              <w:top w:type="dxa" w:w="80"/>
              <w:left w:type="dxa" w:w="120"/>
              <w:bottom w:type="dxa" w:w="80"/>
              <w:right w:type="dxa" w:w="120"/>
            </w:tcMar>
          </w:tcPr>
          <w:p>
            <w:r>
              <w:rPr>
                <w:rFonts w:ascii="Arial" w:cs="Arial" w:eastAsia="Arial" w:hAnsi="Arial"/>
                <w:b/>
                <w:bCs/>
                <w:color w:val="FFFFFF"/>
                <w:sz w:val="18"/>
                <w:szCs w:val="18"/>
              </w:rPr>
              <w:t xml:space="preserve">Used By</w:t>
            </w:r>
          </w:p>
        </w:tc>
      </w:tr>
      <w:tr>
        <w:trPr>
          <w:tblHeader w:val="false"/>
        </w:trPr>
        <w:tc>
          <w:tcPr>
            <w:tcW w:type="dxa" w:w="20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leads</w:t>
            </w:r>
          </w:p>
        </w:tc>
        <w:tc>
          <w:tcPr>
            <w:tcW w:type="dxa" w:w="41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id, name, business_name, phone, email, address, vertical, source, score, stage, sms_opted_in, consent_date, created_at, updated_at</w:t>
            </w:r>
          </w:p>
        </w:tc>
        <w:tc>
          <w:tcPr>
            <w:tcW w:type="dxa" w:w="32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All pipeline agents, client portal</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sms_threads</w:t>
            </w:r>
          </w:p>
        </w:tc>
        <w:tc>
          <w:tcPr>
            <w:tcW w:type="dxa" w:w="4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id, lead_id, direction (inbound/outbound), body, twilio_sid, sent_at, classification (POSITIVE/QUESTION/TIMING/OPT_OUT)</w:t>
            </w:r>
          </w:p>
        </w:tc>
        <w:tc>
          <w:tcPr>
            <w:tcW w:type="dxa" w:w="3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SMS agents, client portal conversation view</w:t>
            </w:r>
          </w:p>
        </w:tc>
      </w:tr>
      <w:tr>
        <w:trPr>
          <w:tblHeader w:val="false"/>
        </w:trPr>
        <w:tc>
          <w:tcPr>
            <w:tcW w:type="dxa" w:w="20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appointments</w:t>
            </w:r>
          </w:p>
        </w:tc>
        <w:tc>
          <w:tcPr>
            <w:tcW w:type="dxa" w:w="41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id, lead_id, cal_booking_uid, scheduled_at, status (pending/confirmed/no_show/completed), notes</w:t>
            </w:r>
          </w:p>
        </w:tc>
        <w:tc>
          <w:tcPr>
            <w:tcW w:type="dxa" w:w="32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Stage Update Agent, Cal.com webhook, client portal</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notes</w:t>
            </w:r>
          </w:p>
        </w:tc>
        <w:tc>
          <w:tcPr>
            <w:tcW w:type="dxa" w:w="4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id, lead_id, content, author (agent name or "human"), created_at</w:t>
            </w:r>
          </w:p>
        </w:tc>
        <w:tc>
          <w:tcPr>
            <w:tcW w:type="dxa" w:w="3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All agents, client portal lead detail</w:t>
            </w:r>
          </w:p>
        </w:tc>
      </w:tr>
      <w:tr>
        <w:trPr>
          <w:tblHeader w:val="false"/>
        </w:trPr>
        <w:tc>
          <w:tcPr>
            <w:tcW w:type="dxa" w:w="20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activities</w:t>
            </w:r>
          </w:p>
        </w:tc>
        <w:tc>
          <w:tcPr>
            <w:tcW w:type="dxa" w:w="41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id, lead_id, action_type, metadata JSONB, created_at</w:t>
            </w:r>
          </w:p>
        </w:tc>
        <w:tc>
          <w:tcPr>
            <w:tcW w:type="dxa" w:w="32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Activity timeline in client portal</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campaign_stats</w:t>
            </w:r>
          </w:p>
        </w:tc>
        <w:tc>
          <w:tcPr>
            <w:tcW w:type="dxa" w:w="4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date, leads_contacted, sms_sent, replies, appointments_booked, conversion_rate</w:t>
            </w:r>
          </w:p>
        </w:tc>
        <w:tc>
          <w:tcPr>
            <w:tcW w:type="dxa" w:w="3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Client dashboard metrics, weekly report</w:t>
            </w:r>
          </w:p>
        </w:tc>
      </w:tr>
    </w:tbl>
    <w:p>
      <w:pPr>
        <w:spacing w:after="160"/>
      </w:pPr>
      <w:r>
        <w:t xml:space="preserve"/>
      </w:r>
    </w:p>
    <w:p>
      <w:pPr>
        <w:pStyle w:val="Heading2"/>
        <w:pBdr>
          <w:bottom w:val="single" w:color="00B4D8" w:sz="6" w:space="1"/>
        </w:pBdr>
        <w:spacing w:after="160" w:before="360"/>
      </w:pPr>
      <w:r>
        <w:rPr>
          <w:rFonts w:ascii="Arial" w:cs="Arial" w:eastAsia="Arial" w:hAnsi="Arial"/>
          <w:b/>
          <w:bCs/>
          <w:color w:val="1B4F72"/>
          <w:sz w:val="26"/>
          <w:szCs w:val="26"/>
        </w:rPr>
        <w:t xml:space="preserve">3.3 How OpenClaw Connects to Each Client's Supabase</w:t>
      </w:r>
    </w:p>
    <w:p>
      <w:pPr>
        <w:spacing w:after="160"/>
      </w:pPr>
      <w:r>
        <w:rPr>
          <w:rFonts w:ascii="Arial" w:cs="Arial" w:eastAsia="Arial" w:hAnsi="Arial"/>
          <w:color w:val="1C1C2E"/>
          <w:sz w:val="20"/>
          <w:szCs w:val="20"/>
        </w:rPr>
        <w:t xml:space="preserve">Each client record in InsForge stores that client's Supabase project URL and anon key. When OpenClaw spawns an agent for a specific client, it passes those credentials as context. The agent uses the Supabase SDK to connect to that client's isolated project.</w:t>
      </w:r>
    </w:p>
    <w:p>
      <w:pPr>
        <w:spacing w:after="80"/>
      </w:pPr>
      <w:r>
        <w:t xml:space="preserve"/>
      </w:r>
    </w:p>
    <w:p>
      <w:pPr>
        <w:pBdr>
          <w:left w:val="single" w:color="00B4D8" w:sz="16" w:space="4"/>
        </w:pBdr>
        <w:shd w:fill="EEF2F7" w:val="clear"/>
        <w:spacing w:after="160" w:before="80"/>
        <w:ind w:left="200" w:right="200"/>
      </w:pPr>
      <w:r>
        <w:rPr>
          <w:rFonts w:ascii="Courier New" w:cs="Courier New" w:eastAsia="Courier New" w:hAnsi="Courier New"/>
          <w:color w:val="0D1B2A"/>
          <w:sz w:val="17"/>
          <w:szCs w:val="17"/>
        </w:rPr>
        <w:br/>
        <w:t xml:space="preserve">// Pattern: OpenClaw fetches client credentials from InsForge
</w:t>
      </w:r>
      <w:r>
        <w:rPr>
          <w:rFonts w:ascii="Courier New" w:cs="Courier New" w:eastAsia="Courier New" w:hAnsi="Courier New"/>
          <w:color w:val="0D1B2A"/>
          <w:sz w:val="17"/>
          <w:szCs w:val="17"/>
        </w:rPr>
        <w:br/>
        <w:t xml:space="preserve">// then passes to spawned agent as environment context
</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const client = await insforge.db.read("clients", { id: clientId });
</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const supabase = createClient(
</w:t>
      </w:r>
      <w:r>
        <w:rPr>
          <w:rFonts w:ascii="Courier New" w:cs="Courier New" w:eastAsia="Courier New" w:hAnsi="Courier New"/>
          <w:color w:val="0D1B2A"/>
          <w:sz w:val="17"/>
          <w:szCs w:val="17"/>
        </w:rPr>
        <w:br/>
        <w:t xml:space="preserve">  client.supabase_project_url,   // e.g. https://xyzabc.supabase.co
</w:t>
      </w:r>
      <w:r>
        <w:rPr>
          <w:rFonts w:ascii="Courier New" w:cs="Courier New" w:eastAsia="Courier New" w:hAnsi="Courier New"/>
          <w:color w:val="0D1B2A"/>
          <w:sz w:val="17"/>
          <w:szCs w:val="17"/>
        </w:rPr>
        <w:br/>
        <w:t xml:space="preserve">  client.supabase_anon_key       // scoped to this client only
</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Agent now reads/writes ONLY this client's isolated data
</w:t>
      </w:r>
      <w:r>
        <w:rPr>
          <w:rFonts w:ascii="Courier New" w:cs="Courier New" w:eastAsia="Courier New" w:hAnsi="Courier New"/>
          <w:color w:val="0D1B2A"/>
          <w:sz w:val="17"/>
          <w:szCs w:val="17"/>
        </w:rPr>
        <w:t xml:space="preserve">await supabase.from("leads").insert({ name, phone, stage: "New" });</w:t>
      </w:r>
    </w:p>
    <w:p>
      <w:pPr>
        <w:spacing w:after="160"/>
      </w:pPr>
      <w:r>
        <w:t xml:space="preserve"/>
      </w:r>
    </w:p>
    <w:p>
      <w:r>
        <w:br w:type="page"/>
      </w:r>
    </w:p>
    <w:p>
      <w:pPr>
        <w:pStyle w:val="Heading1"/>
        <w:shd w:fill="0D1B2A" w:val="clear"/>
        <w:spacing w:after="240" w:before="480"/>
        <w:ind w:left="200" w:right="200"/>
      </w:pPr>
      <w:r>
        <w:rPr>
          <w:rFonts w:ascii="Arial" w:cs="Arial" w:eastAsia="Arial" w:hAnsi="Arial"/>
          <w:b/>
          <w:bCs/>
          <w:color w:val="FFFFFF"/>
          <w:sz w:val="34"/>
          <w:szCs w:val="34"/>
        </w:rPr>
        <w:t xml:space="preserve">4. OpenClaw Orchestrator</w:t>
      </w:r>
    </w:p>
    <w:p>
      <w:pPr>
        <w:spacing w:after="80"/>
      </w:pPr>
      <w:r>
        <w:t xml:space="preserve"/>
      </w:r>
    </w:p>
    <w:p>
      <w:pPr>
        <w:spacing w:after="160"/>
      </w:pPr>
      <w:r>
        <w:rPr>
          <w:rFonts w:ascii="Arial" w:cs="Arial" w:eastAsia="Arial" w:hAnsi="Arial"/>
          <w:color w:val="1C1C2E"/>
          <w:sz w:val="20"/>
          <w:szCs w:val="20"/>
        </w:rPr>
        <w:t xml:space="preserve">OpenClaw is the only component that touches every other layer. It does not do the work itself — it classifies incoming events, spawns the correct specialist agent, passes the right credentials, and monitors completion.</w:t>
      </w:r>
    </w:p>
    <w:p>
      <w:pPr>
        <w:spacing w:after="160"/>
      </w:pPr>
      <w:r>
        <w:t xml:space="preserve"/>
      </w:r>
    </w:p>
    <w:p>
      <w:pPr>
        <w:pStyle w:val="Heading2"/>
        <w:pBdr>
          <w:bottom w:val="single" w:color="00B4D8" w:sz="6" w:space="1"/>
        </w:pBdr>
        <w:spacing w:after="160" w:before="360"/>
      </w:pPr>
      <w:r>
        <w:rPr>
          <w:rFonts w:ascii="Arial" w:cs="Arial" w:eastAsia="Arial" w:hAnsi="Arial"/>
          <w:b/>
          <w:bCs/>
          <w:color w:val="1B4F72"/>
          <w:sz w:val="26"/>
          <w:szCs w:val="26"/>
        </w:rPr>
        <w:t xml:space="preserve">4.1 Identity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C3E50" w:sz="6"/>
              <w:left w:val="single" w:color="2C3E50" w:sz="6"/>
              <w:bottom w:val="single" w:color="2C3E50" w:sz="6"/>
              <w:right w:val="single" w:color="2C3E50" w:sz="6"/>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7360"/>
            <w:tcBorders>
              <w:top w:val="single" w:color="2C3E50" w:sz="6"/>
              <w:left w:val="single" w:color="2C3E50" w:sz="6"/>
              <w:bottom w:val="single" w:color="2C3E50" w:sz="6"/>
              <w:right w:val="single" w:color="2C3E50" w:sz="6"/>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Contents</w:t>
            </w:r>
          </w:p>
        </w:tc>
      </w:tr>
      <w:tr>
        <w:trPr>
          <w:tblHeader w:val="false"/>
        </w:trPr>
        <w:tc>
          <w:tcPr>
            <w:tcW w:type="dxa" w:w="20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Soul.md</w:t>
            </w:r>
          </w:p>
        </w:tc>
        <w:tc>
          <w:tcPr>
            <w:tcW w:type="dxa" w:w="73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OpenClaw's persona: "Chief Revenue Officer for KlickSmart AI clients." Core values: never send without consent check, never book without lead confirmation, always log every action. Prevents generic chatbot drift.</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User.md</w:t>
            </w:r>
          </w:p>
        </w:tc>
        <w:tc>
          <w:tcPr>
            <w:tcW w:type="dxa" w:w="73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Dennis's context: KlickSmart ICP (plumbers + HVAC, Metro Vancouver), active clients list, agency Slack channel IDs, Google Sheet IDs for Lead Sniper exports, Smartlead account ID, agency Hetzner VPS IP.</w:t>
            </w:r>
          </w:p>
        </w:tc>
      </w:tr>
      <w:tr>
        <w:trPr>
          <w:tblHeader w:val="false"/>
        </w:trPr>
        <w:tc>
          <w:tcPr>
            <w:tcW w:type="dxa" w:w="20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HEARTBEAT.md</w:t>
            </w:r>
          </w:p>
        </w:tc>
        <w:tc>
          <w:tcPr>
            <w:tcW w:type="dxa" w:w="73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Full cron schedule: which agents fire at what times, what they check, which Slack channel they report to, and what constitutes a failure condition requiring human escalation.</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clients/*.md</w:t>
            </w:r>
          </w:p>
        </w:tc>
        <w:tc>
          <w:tcPr>
            <w:tcW w:type="dxa" w:w="73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One file per client: business name, vertical, Supabase project URL, Twilio number, Cal.com link, target service area, ICP (e.g. "homeowners in Burnaby/Coquitlam"), active campaign status.</w:t>
            </w:r>
          </w:p>
        </w:tc>
      </w:tr>
    </w:tbl>
    <w:p>
      <w:pPr>
        <w:spacing w:after="160"/>
      </w:pPr>
      <w:r>
        <w:t xml:space="preserve"/>
      </w:r>
    </w:p>
    <w:p>
      <w:pPr>
        <w:pStyle w:val="Heading2"/>
        <w:pBdr>
          <w:bottom w:val="single" w:color="00B4D8" w:sz="6" w:space="1"/>
        </w:pBdr>
        <w:spacing w:after="160" w:before="360"/>
      </w:pPr>
      <w:r>
        <w:rPr>
          <w:rFonts w:ascii="Arial" w:cs="Arial" w:eastAsia="Arial" w:hAnsi="Arial"/>
          <w:b/>
          <w:bCs/>
          <w:color w:val="1B4F72"/>
          <w:sz w:val="26"/>
          <w:szCs w:val="26"/>
        </w:rPr>
        <w:t xml:space="preserve">4.2 Master Router — Event Classification</w:t>
      </w:r>
    </w:p>
    <w:p>
      <w:pPr>
        <w:spacing w:after="160"/>
      </w:pPr>
      <w:r>
        <w:rPr>
          <w:rFonts w:ascii="Arial" w:cs="Arial" w:eastAsia="Arial" w:hAnsi="Arial"/>
          <w:color w:val="1C1C2E"/>
          <w:sz w:val="20"/>
          <w:szCs w:val="20"/>
        </w:rPr>
        <w:t xml:space="preserve">Every event enters through the Master Router. It classifies the event type and dispatches to the correct agent with the correct client context attached.</w:t>
      </w:r>
    </w:p>
    <w:p>
      <w:pPr>
        <w:spacing w:after="80"/>
      </w:pPr>
      <w:r>
        <w:t xml:space="preserve"/>
      </w:r>
    </w:p>
    <w:p>
      <w:pPr>
        <w:pBdr>
          <w:left w:val="single" w:color="00B4D8" w:sz="16" w:space="4"/>
        </w:pBdr>
        <w:shd w:fill="EEF2F7" w:val="clear"/>
        <w:spacing w:after="160" w:before="80"/>
        <w:ind w:left="200" w:right="200"/>
      </w:pPr>
      <w:r>
        <w:rPr>
          <w:rFonts w:ascii="Courier New" w:cs="Courier New" w:eastAsia="Courier New" w:hAnsi="Courier New"/>
          <w:color w:val="0D1B2A"/>
          <w:sz w:val="17"/>
          <w:szCs w:val="17"/>
        </w:rPr>
        <w:br/>
        <w:t xml:space="preserve">INCOMING EVENT TYPES → DISPATCH TARGET
</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new_sheet_row          → Lead Ingestion Agent
</w:t>
      </w:r>
      <w:r>
        <w:rPr>
          <w:rFonts w:ascii="Courier New" w:cs="Courier New" w:eastAsia="Courier New" w:hAnsi="Courier New"/>
          <w:color w:val="0D1B2A"/>
          <w:sz w:val="17"/>
          <w:szCs w:val="17"/>
        </w:rPr>
        <w:br/>
        <w:t xml:space="preserve">inbound_sms            → SMS Classifier Agent
</w:t>
      </w:r>
      <w:r>
        <w:rPr>
          <w:rFonts w:ascii="Courier New" w:cs="Courier New" w:eastAsia="Courier New" w:hAnsi="Courier New"/>
          <w:color w:val="0D1B2A"/>
          <w:sz w:val="17"/>
          <w:szCs w:val="17"/>
        </w:rPr>
        <w:br/>
        <w:t xml:space="preserve">cal_booking_confirmed  → Stage Update Agent + Notify Agent
</w:t>
      </w:r>
      <w:r>
        <w:rPr>
          <w:rFonts w:ascii="Courier New" w:cs="Courier New" w:eastAsia="Courier New" w:hAnsi="Courier New"/>
          <w:color w:val="0D1B2A"/>
          <w:sz w:val="17"/>
          <w:szCs w:val="17"/>
        </w:rPr>
        <w:br/>
        <w:t xml:space="preserve">sms_no_reply_48h       → SMS Follow-Up Agent
</w:t>
      </w:r>
      <w:r>
        <w:rPr>
          <w:rFonts w:ascii="Courier New" w:cs="Courier New" w:eastAsia="Courier New" w:hAnsi="Courier New"/>
          <w:color w:val="0D1B2A"/>
          <w:sz w:val="17"/>
          <w:szCs w:val="17"/>
        </w:rPr>
        <w:br/>
        <w:t xml:space="preserve">cron_0730              → Morning Report Agent
</w:t>
      </w:r>
      <w:r>
        <w:rPr>
          <w:rFonts w:ascii="Courier New" w:cs="Courier New" w:eastAsia="Courier New" w:hAnsi="Courier New"/>
          <w:color w:val="0D1B2A"/>
          <w:sz w:val="17"/>
          <w:szCs w:val="17"/>
        </w:rPr>
        <w:br/>
        <w:t xml:space="preserve">cron_1800              → Evening Digest Agent
</w:t>
      </w:r>
      <w:r>
        <w:rPr>
          <w:rFonts w:ascii="Courier New" w:cs="Courier New" w:eastAsia="Courier New" w:hAnsi="Courier New"/>
          <w:color w:val="0D1B2A"/>
          <w:sz w:val="17"/>
          <w:szCs w:val="17"/>
        </w:rPr>
        <w:br/>
        <w:t xml:space="preserve">cron_0900_monday       → Weekly Report Agent
</w:t>
      </w:r>
      <w:r>
        <w:rPr>
          <w:rFonts w:ascii="Courier New" w:cs="Courier New" w:eastAsia="Courier New" w:hAnsi="Courier New"/>
          <w:color w:val="0D1B2A"/>
          <w:sz w:val="17"/>
          <w:szCs w:val="17"/>
        </w:rPr>
        <w:br/>
        <w:t xml:space="preserve">cron_every_60m         → Telemetry Check Agent
</w:t>
      </w:r>
      <w:r>
        <w:rPr>
          <w:rFonts w:ascii="Courier New" w:cs="Courier New" w:eastAsia="Courier New" w:hAnsi="Courier New"/>
          <w:color w:val="0D1B2A"/>
          <w:sz w:val="17"/>
          <w:szCs w:val="17"/>
        </w:rPr>
        <w:br/>
        <w:t xml:space="preserve">cron_every_6h          → Lead Enrichment Sync
</w:t>
      </w:r>
      <w:r>
        <w:rPr>
          <w:rFonts w:ascii="Courier New" w:cs="Courier New" w:eastAsia="Courier New" w:hAnsi="Courier New"/>
          <w:color w:val="0D1B2A"/>
          <w:sz w:val="17"/>
          <w:szCs w:val="17"/>
        </w:rPr>
        <w:br/>
        <w:t xml:space="preserve">slack_command          → Parse intent → Route to agent
</w:t>
      </w:r>
      <w:r>
        <w:rPr>
          <w:rFonts w:ascii="Courier New" w:cs="Courier New" w:eastAsia="Courier New" w:hAnsi="Courier New"/>
          <w:color w:val="0D1B2A"/>
          <w:sz w:val="17"/>
          <w:szCs w:val="17"/>
        </w:rPr>
        <w:t xml:space="preserve">unknown                → Log + Slack alert to Dennis</w:t>
      </w:r>
    </w:p>
    <w:p>
      <w:pPr>
        <w:spacing w:after="80"/>
      </w:pPr>
      <w:r>
        <w:t xml:space="preserve"/>
      </w:r>
    </w:p>
    <w:p>
      <w:pPr>
        <w:spacing w:after="160"/>
      </w:pPr>
      <w:r>
        <w:rPr>
          <w:rFonts w:ascii="Arial" w:cs="Arial" w:eastAsia="Arial" w:hAnsi="Arial"/>
          <w:color w:val="1C1C2E"/>
          <w:sz w:val="20"/>
          <w:szCs w:val="20"/>
        </w:rPr>
        <w:t xml:space="preserve">Router model: Haiku. Classification is high-volume, low-complexity. Haiku handles this at fractions of a cent per event.</w:t>
      </w:r>
    </w:p>
    <w:p>
      <w:pPr>
        <w:spacing w:after="160"/>
      </w:pPr>
      <w:r>
        <w:t xml:space="preserve"/>
      </w:r>
    </w:p>
    <w:p>
      <w:pPr>
        <w:pStyle w:val="Heading2"/>
        <w:pBdr>
          <w:bottom w:val="single" w:color="00B4D8" w:sz="6" w:space="1"/>
        </w:pBdr>
        <w:spacing w:after="160" w:before="360"/>
      </w:pPr>
      <w:r>
        <w:rPr>
          <w:rFonts w:ascii="Arial" w:cs="Arial" w:eastAsia="Arial" w:hAnsi="Arial"/>
          <w:b/>
          <w:bCs/>
          <w:color w:val="1B4F72"/>
          <w:sz w:val="26"/>
          <w:szCs w:val="26"/>
        </w:rPr>
        <w:t xml:space="preserve">4.3 Cron Schedule (HEARTBEAT)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1A6B3C" w:sz="6"/>
              <w:left w:val="single" w:color="1A6B3C" w:sz="6"/>
              <w:bottom w:val="single" w:color="1A6B3C" w:sz="6"/>
              <w:right w:val="single" w:color="1A6B3C" w:sz="6"/>
            </w:tcBorders>
            <w:shd w:fill="1A6B3C" w:val="clear"/>
            <w:tcMar>
              <w:top w:type="dxa" w:w="80"/>
              <w:left w:type="dxa" w:w="120"/>
              <w:bottom w:type="dxa" w:w="80"/>
              <w:right w:type="dxa" w:w="120"/>
            </w:tcMar>
          </w:tcPr>
          <w:p>
            <w:r>
              <w:rPr>
                <w:rFonts w:ascii="Arial" w:cs="Arial" w:eastAsia="Arial" w:hAnsi="Arial"/>
                <w:b/>
                <w:bCs/>
                <w:color w:val="FFFFFF"/>
                <w:sz w:val="18"/>
                <w:szCs w:val="18"/>
              </w:rPr>
              <w:t xml:space="preserve">Schedule</w:t>
            </w:r>
          </w:p>
        </w:tc>
        <w:tc>
          <w:tcPr>
            <w:tcW w:type="dxa" w:w="2200"/>
            <w:tcBorders>
              <w:top w:val="single" w:color="1A6B3C" w:sz="6"/>
              <w:left w:val="single" w:color="1A6B3C" w:sz="6"/>
              <w:bottom w:val="single" w:color="1A6B3C" w:sz="6"/>
              <w:right w:val="single" w:color="1A6B3C" w:sz="6"/>
            </w:tcBorders>
            <w:shd w:fill="1A6B3C" w:val="clear"/>
            <w:tcMar>
              <w:top w:type="dxa" w:w="80"/>
              <w:left w:type="dxa" w:w="120"/>
              <w:bottom w:type="dxa" w:w="80"/>
              <w:right w:type="dxa" w:w="120"/>
            </w:tcMar>
          </w:tcPr>
          <w:p>
            <w:r>
              <w:rPr>
                <w:rFonts w:ascii="Arial" w:cs="Arial" w:eastAsia="Arial" w:hAnsi="Arial"/>
                <w:b/>
                <w:bCs/>
                <w:color w:val="FFFFFF"/>
                <w:sz w:val="18"/>
                <w:szCs w:val="18"/>
              </w:rPr>
              <w:t xml:space="preserve">Agent</w:t>
            </w:r>
          </w:p>
        </w:tc>
        <w:tc>
          <w:tcPr>
            <w:tcW w:type="dxa" w:w="5160"/>
            <w:tcBorders>
              <w:top w:val="single" w:color="1A6B3C" w:sz="6"/>
              <w:left w:val="single" w:color="1A6B3C" w:sz="6"/>
              <w:bottom w:val="single" w:color="1A6B3C" w:sz="6"/>
              <w:right w:val="single" w:color="1A6B3C" w:sz="6"/>
            </w:tcBorders>
            <w:shd w:fill="1A6B3C"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rPr>
          <w:tblHeader w:val="false"/>
        </w:trPr>
        <w:tc>
          <w:tcPr>
            <w:tcW w:type="dxa" w:w="20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07:30 AM daily</w:t>
            </w:r>
          </w:p>
        </w:tc>
        <w:tc>
          <w:tcPr>
            <w:tcW w:type="dxa" w:w="22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Morning Report</w:t>
            </w:r>
          </w:p>
        </w:tc>
        <w:tc>
          <w:tcPr>
            <w:tcW w:type="dxa" w:w="51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Pipeline summary, hot leads needing action, SMS reply digest, appointment count for today</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Every 30 min</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SMS Monitor</w:t>
            </w:r>
          </w:p>
        </w:tc>
        <w:tc>
          <w:tcPr>
            <w:tcW w:type="dxa" w:w="5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Check Twilio for inbound messages across all client numbers, dispatch to SMS Classifier</w:t>
            </w:r>
          </w:p>
        </w:tc>
      </w:tr>
      <w:tr>
        <w:trPr>
          <w:tblHeader w:val="false"/>
        </w:trPr>
        <w:tc>
          <w:tcPr>
            <w:tcW w:type="dxa" w:w="20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Every 6 hours</w:t>
            </w:r>
          </w:p>
        </w:tc>
        <w:tc>
          <w:tcPr>
            <w:tcW w:type="dxa" w:w="22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Lead Ingestion Sync</w:t>
            </w:r>
          </w:p>
        </w:tc>
        <w:tc>
          <w:tcPr>
            <w:tcW w:type="dxa" w:w="51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Read Lead Sniper Google Sheet for new rows, ingest to client Supabase</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Every 60 min</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Telemetry Check</w:t>
            </w:r>
          </w:p>
        </w:tc>
        <w:tc>
          <w:tcPr>
            <w:tcW w:type="dxa" w:w="5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Audit agent_log for failures, flag hallucinated completions, update Mission Control</w:t>
            </w:r>
          </w:p>
        </w:tc>
      </w:tr>
      <w:tr>
        <w:trPr>
          <w:tblHeader w:val="false"/>
        </w:trPr>
        <w:tc>
          <w:tcPr>
            <w:tcW w:type="dxa" w:w="20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06:00 PM daily</w:t>
            </w:r>
          </w:p>
        </w:tc>
        <w:tc>
          <w:tcPr>
            <w:tcW w:type="dxa" w:w="22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Evening Digest</w:t>
            </w:r>
          </w:p>
        </w:tc>
        <w:tc>
          <w:tcPr>
            <w:tcW w:type="dxa" w:w="51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Action items, leads that need human touch, bounces, opt-outs processed</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Monday 09:00 AM</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Weekly Report</w:t>
            </w:r>
          </w:p>
        </w:tc>
        <w:tc>
          <w:tcPr>
            <w:tcW w:type="dxa" w:w="5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Write metrics to Google Sheet, post Slack card with week-over-week for each client</w:t>
            </w:r>
          </w:p>
        </w:tc>
      </w:tr>
      <w:tr>
        <w:trPr>
          <w:tblHeader w:val="false"/>
        </w:trPr>
        <w:tc>
          <w:tcPr>
            <w:tcW w:type="dxa" w:w="20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48h after SMS sent</w:t>
            </w:r>
          </w:p>
        </w:tc>
        <w:tc>
          <w:tcPr>
            <w:tcW w:type="dxa" w:w="22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Follow-Up Trigger</w:t>
            </w:r>
          </w:p>
        </w:tc>
        <w:tc>
          <w:tcPr>
            <w:tcW w:type="dxa" w:w="51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If no reply to initial SMS, dispatch SMS Follow-Up Agent with new angle</w:t>
            </w:r>
          </w:p>
        </w:tc>
      </w:tr>
    </w:tbl>
    <w:p>
      <w:pPr>
        <w:spacing w:after="160"/>
      </w:pPr>
      <w:r>
        <w:t xml:space="preserve"/>
      </w:r>
    </w:p>
    <w:p>
      <w:r>
        <w:br w:type="page"/>
      </w:r>
    </w:p>
    <w:p>
      <w:pPr>
        <w:pStyle w:val="Heading1"/>
        <w:shd w:fill="0D1B2A" w:val="clear"/>
        <w:spacing w:after="240" w:before="480"/>
        <w:ind w:left="200" w:right="200"/>
      </w:pPr>
      <w:r>
        <w:rPr>
          <w:rFonts w:ascii="Arial" w:cs="Arial" w:eastAsia="Arial" w:hAnsi="Arial"/>
          <w:b/>
          <w:bCs/>
          <w:color w:val="FFFFFF"/>
          <w:sz w:val="34"/>
          <w:szCs w:val="34"/>
        </w:rPr>
        <w:t xml:space="preserve">5. Complete Agent Roster</w:t>
      </w:r>
    </w:p>
    <w:p>
      <w:pPr>
        <w:spacing w:after="80"/>
      </w:pPr>
      <w:r>
        <w:t xml:space="preserve"/>
      </w:r>
    </w:p>
    <w:p>
      <w:pPr>
        <w:spacing w:after="160"/>
      </w:pPr>
      <w:r>
        <w:rPr>
          <w:rFonts w:ascii="Arial" w:cs="Arial" w:eastAsia="Arial" w:hAnsi="Arial"/>
          <w:color w:val="1C1C2E"/>
          <w:sz w:val="20"/>
          <w:szCs w:val="20"/>
        </w:rPr>
        <w:t xml:space="preserve">19 agents across 4 domains. Every agent has a single responsibility, a fixed model tier, scoped database access, and defined output. No agent has broader permissions than its task requires.</w:t>
      </w:r>
    </w:p>
    <w:p>
      <w:pPr>
        <w:spacing w:after="160"/>
      </w:pPr>
      <w:r>
        <w:t xml:space="preserve"/>
      </w:r>
    </w:p>
    <w:p>
      <w:pPr>
        <w:pStyle w:val="Heading2"/>
        <w:pBdr>
          <w:bottom w:val="single" w:color="00B4D8" w:sz="6" w:space="1"/>
        </w:pBdr>
        <w:spacing w:after="160" w:before="360"/>
      </w:pPr>
      <w:r>
        <w:rPr>
          <w:rFonts w:ascii="Arial" w:cs="Arial" w:eastAsia="Arial" w:hAnsi="Arial"/>
          <w:b/>
          <w:bCs/>
          <w:color w:val="1B4F72"/>
          <w:sz w:val="26"/>
          <w:szCs w:val="26"/>
        </w:rPr>
        <w:t xml:space="preserve">5.1 Lead Pipeline Agents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20"/>
        <w:gridCol w:w="1600"/>
        <w:gridCol w:w="1800"/>
        <w:gridCol w:w="1700"/>
        <w:gridCol w:w="1740"/>
      </w:tblGrid>
      <w:tr>
        <w:trPr>
          <w:tblHeader/>
        </w:trPr>
        <w:tc>
          <w:tcPr>
            <w:tcW w:type="dxa" w:w="1700"/>
            <w:tcBorders>
              <w:top w:val="single" w:color="0D1B2A" w:sz="8"/>
              <w:left w:val="single" w:color="0D1B2A" w:sz="8"/>
              <w:bottom w:val="single" w:color="0D1B2A" w:sz="8"/>
              <w:right w:val="single" w:color="0D1B2A" w:sz="8"/>
            </w:tcBorders>
            <w:shd w:fill="0D1B2A" w:val="clear"/>
            <w:tcMar>
              <w:top w:type="dxa" w:w="80"/>
              <w:left w:type="dxa" w:w="100"/>
              <w:bottom w:type="dxa" w:w="80"/>
              <w:right w:type="dxa" w:w="100"/>
            </w:tcMar>
          </w:tcPr>
          <w:p>
            <w:r>
              <w:rPr>
                <w:rFonts w:ascii="Arial" w:cs="Arial" w:eastAsia="Arial" w:hAnsi="Arial"/>
                <w:b/>
                <w:bCs/>
                <w:color w:val="FFFFFF"/>
                <w:sz w:val="17"/>
                <w:szCs w:val="17"/>
              </w:rPr>
              <w:t xml:space="preserve">Agent</w:t>
            </w:r>
          </w:p>
        </w:tc>
        <w:tc>
          <w:tcPr>
            <w:tcW w:type="dxa" w:w="820"/>
            <w:tcBorders>
              <w:top w:val="single" w:color="0D1B2A" w:sz="8"/>
              <w:left w:val="single" w:color="0D1B2A" w:sz="8"/>
              <w:bottom w:val="single" w:color="0D1B2A" w:sz="8"/>
              <w:right w:val="single" w:color="0D1B2A" w:sz="8"/>
            </w:tcBorders>
            <w:shd w:fill="0D1B2A" w:val="clear"/>
            <w:tcMar>
              <w:top w:type="dxa" w:w="80"/>
              <w:left w:type="dxa" w:w="100"/>
              <w:bottom w:type="dxa" w:w="80"/>
              <w:right w:type="dxa" w:w="100"/>
            </w:tcMar>
          </w:tcPr>
          <w:p>
            <w:r>
              <w:rPr>
                <w:rFonts w:ascii="Arial" w:cs="Arial" w:eastAsia="Arial" w:hAnsi="Arial"/>
                <w:b/>
                <w:bCs/>
                <w:color w:val="FFFFFF"/>
                <w:sz w:val="17"/>
                <w:szCs w:val="17"/>
              </w:rPr>
              <w:t xml:space="preserve">Model</w:t>
            </w:r>
          </w:p>
        </w:tc>
        <w:tc>
          <w:tcPr>
            <w:tcW w:type="dxa" w:w="1600"/>
            <w:tcBorders>
              <w:top w:val="single" w:color="0D1B2A" w:sz="8"/>
              <w:left w:val="single" w:color="0D1B2A" w:sz="8"/>
              <w:bottom w:val="single" w:color="0D1B2A" w:sz="8"/>
              <w:right w:val="single" w:color="0D1B2A" w:sz="8"/>
            </w:tcBorders>
            <w:shd w:fill="0D1B2A" w:val="clear"/>
            <w:tcMar>
              <w:top w:type="dxa" w:w="80"/>
              <w:left w:type="dxa" w:w="100"/>
              <w:bottom w:type="dxa" w:w="80"/>
              <w:right w:type="dxa" w:w="100"/>
            </w:tcMar>
          </w:tcPr>
          <w:p>
            <w:r>
              <w:rPr>
                <w:rFonts w:ascii="Arial" w:cs="Arial" w:eastAsia="Arial" w:hAnsi="Arial"/>
                <w:b/>
                <w:bCs/>
                <w:color w:val="FFFFFF"/>
                <w:sz w:val="17"/>
                <w:szCs w:val="17"/>
              </w:rPr>
              <w:t xml:space="preserve">Trigger</w:t>
            </w:r>
          </w:p>
        </w:tc>
        <w:tc>
          <w:tcPr>
            <w:tcW w:type="dxa" w:w="1800"/>
            <w:tcBorders>
              <w:top w:val="single" w:color="0D1B2A" w:sz="8"/>
              <w:left w:val="single" w:color="0D1B2A" w:sz="8"/>
              <w:bottom w:val="single" w:color="0D1B2A" w:sz="8"/>
              <w:right w:val="single" w:color="0D1B2A" w:sz="8"/>
            </w:tcBorders>
            <w:shd w:fill="0D1B2A" w:val="clear"/>
            <w:tcMar>
              <w:top w:type="dxa" w:w="80"/>
              <w:left w:type="dxa" w:w="100"/>
              <w:bottom w:type="dxa" w:w="80"/>
              <w:right w:type="dxa" w:w="100"/>
            </w:tcMar>
          </w:tcPr>
          <w:p>
            <w:r>
              <w:rPr>
                <w:rFonts w:ascii="Arial" w:cs="Arial" w:eastAsia="Arial" w:hAnsi="Arial"/>
                <w:b/>
                <w:bCs/>
                <w:color w:val="FFFFFF"/>
                <w:sz w:val="17"/>
                <w:szCs w:val="17"/>
              </w:rPr>
              <w:t xml:space="preserve">Output</w:t>
            </w:r>
          </w:p>
        </w:tc>
        <w:tc>
          <w:tcPr>
            <w:tcW w:type="dxa" w:w="1700"/>
            <w:tcBorders>
              <w:top w:val="single" w:color="0D1B2A" w:sz="8"/>
              <w:left w:val="single" w:color="0D1B2A" w:sz="8"/>
              <w:bottom w:val="single" w:color="0D1B2A" w:sz="8"/>
              <w:right w:val="single" w:color="0D1B2A" w:sz="8"/>
            </w:tcBorders>
            <w:shd w:fill="0D1B2A" w:val="clear"/>
            <w:tcMar>
              <w:top w:type="dxa" w:w="80"/>
              <w:left w:type="dxa" w:w="100"/>
              <w:bottom w:type="dxa" w:w="80"/>
              <w:right w:type="dxa" w:w="100"/>
            </w:tcMar>
          </w:tcPr>
          <w:p>
            <w:r>
              <w:rPr>
                <w:rFonts w:ascii="Arial" w:cs="Arial" w:eastAsia="Arial" w:hAnsi="Arial"/>
                <w:b/>
                <w:bCs/>
                <w:color w:val="FFFFFF"/>
                <w:sz w:val="17"/>
                <w:szCs w:val="17"/>
              </w:rPr>
              <w:t xml:space="preserve">Tools</w:t>
            </w:r>
          </w:p>
        </w:tc>
        <w:tc>
          <w:tcPr>
            <w:tcW w:type="dxa" w:w="1740"/>
            <w:tcBorders>
              <w:top w:val="single" w:color="0D1B2A" w:sz="8"/>
              <w:left w:val="single" w:color="0D1B2A" w:sz="8"/>
              <w:bottom w:val="single" w:color="0D1B2A" w:sz="8"/>
              <w:right w:val="single" w:color="0D1B2A" w:sz="8"/>
            </w:tcBorders>
            <w:shd w:fill="0D1B2A" w:val="clear"/>
            <w:tcMar>
              <w:top w:type="dxa" w:w="80"/>
              <w:left w:type="dxa" w:w="100"/>
              <w:bottom w:type="dxa" w:w="80"/>
              <w:right w:type="dxa" w:w="100"/>
            </w:tcMar>
          </w:tcPr>
          <w:p>
            <w:r>
              <w:rPr>
                <w:rFonts w:ascii="Arial" w:cs="Arial" w:eastAsia="Arial" w:hAnsi="Arial"/>
                <w:b/>
                <w:bCs/>
                <w:color w:val="FFFFFF"/>
                <w:sz w:val="17"/>
                <w:szCs w:val="17"/>
              </w:rPr>
              <w:t xml:space="preserve">Writes To</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Lead Ingestion</w:t>
            </w:r>
          </w:p>
        </w:tc>
        <w:tc>
          <w:tcPr>
            <w:tcW w:type="dxa" w:w="8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Haiku</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New Google Sheet row (Lead Sniper)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Create lead in client Supabase, stage = "New"</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gws Sheets, Supabase SDK</w:t>
            </w:r>
          </w:p>
        </w:tc>
        <w:tc>
          <w:tcPr>
            <w:tcW w:type="dxa" w:w="17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leads table</w:t>
            </w:r>
          </w:p>
        </w:tc>
      </w:tr>
      <w:tr>
        <w:tc>
          <w:tcPr>
            <w:tcW w:type="dxa" w:w="170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Lead Enrichment</w:t>
            </w:r>
          </w:p>
        </w:tc>
        <w:tc>
          <w:tcPr>
            <w:tcW w:type="dxa" w:w="82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Sonnet</w:t>
            </w:r>
          </w:p>
        </w:tc>
        <w:tc>
          <w:tcPr>
            <w:tcW w:type="dxa" w:w="160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New lead with no email/score</w:t>
            </w:r>
          </w:p>
        </w:tc>
        <w:tc>
          <w:tcPr>
            <w:tcW w:type="dxa" w:w="180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Add email, score 0-100, pain indicators, tech stack</w:t>
            </w:r>
          </w:p>
        </w:tc>
        <w:tc>
          <w:tcPr>
            <w:tcW w:type="dxa" w:w="170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Hunter.io API, EnrichLayer</w:t>
            </w:r>
          </w:p>
        </w:tc>
        <w:tc>
          <w:tcPr>
            <w:tcW w:type="dxa" w:w="174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leads.email, leads.score</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CASL Guard</w:t>
            </w:r>
          </w:p>
        </w:tc>
        <w:tc>
          <w:tcPr>
            <w:tcW w:type="dxa" w:w="8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Haiku</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Before any outbound contact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PASS or BLOCK — checks consent + opt-out list</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Supabase (read-only)</w:t>
            </w:r>
          </w:p>
        </w:tc>
        <w:tc>
          <w:tcPr>
            <w:tcW w:type="dxa" w:w="17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None (gate only)</w:t>
            </w:r>
          </w:p>
        </w:tc>
      </w:tr>
      <w:tr>
        <w:tc>
          <w:tcPr>
            <w:tcW w:type="dxa" w:w="170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Signal Detection</w:t>
            </w:r>
          </w:p>
        </w:tc>
        <w:tc>
          <w:tcPr>
            <w:tcW w:type="dxa" w:w="82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Haiku</w:t>
            </w:r>
          </w:p>
        </w:tc>
        <w:tc>
          <w:tcPr>
            <w:tcW w:type="dxa" w:w="160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Batch of new enriched leads</w:t>
            </w:r>
          </w:p>
        </w:tc>
        <w:tc>
          <w:tcPr>
            <w:tcW w:type="dxa" w:w="180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JSON: signal_type, outreach_angle per lead</w:t>
            </w:r>
          </w:p>
        </w:tc>
        <w:tc>
          <w:tcPr>
            <w:tcW w:type="dxa" w:w="170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Supabase read</w:t>
            </w:r>
          </w:p>
        </w:tc>
        <w:tc>
          <w:tcPr>
            <w:tcW w:type="dxa" w:w="174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leads.signal_data</w:t>
            </w:r>
          </w:p>
        </w:tc>
      </w:tr>
    </w:tbl>
    <w:p>
      <w:pPr>
        <w:spacing w:after="160"/>
      </w:pPr>
      <w:r>
        <w:t xml:space="preserve"/>
      </w:r>
    </w:p>
    <w:p>
      <w:pPr>
        <w:pStyle w:val="Heading2"/>
        <w:pBdr>
          <w:bottom w:val="single" w:color="00B4D8" w:sz="6" w:space="1"/>
        </w:pBdr>
        <w:spacing w:after="160" w:before="360"/>
      </w:pPr>
      <w:r>
        <w:rPr>
          <w:rFonts w:ascii="Arial" w:cs="Arial" w:eastAsia="Arial" w:hAnsi="Arial"/>
          <w:b/>
          <w:bCs/>
          <w:color w:val="1B4F72"/>
          <w:sz w:val="26"/>
          <w:szCs w:val="26"/>
        </w:rPr>
        <w:t xml:space="preserve">5.2 SMS Conversation Agents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20"/>
        <w:gridCol w:w="1600"/>
        <w:gridCol w:w="1800"/>
        <w:gridCol w:w="1700"/>
        <w:gridCol w:w="1740"/>
      </w:tblGrid>
      <w:tr>
        <w:trPr>
          <w:tblHeader/>
        </w:trPr>
        <w:tc>
          <w:tcPr>
            <w:tcW w:type="dxa" w:w="1700"/>
            <w:tcBorders>
              <w:top w:val="single" w:color="0D1B2A" w:sz="8"/>
              <w:left w:val="single" w:color="0D1B2A" w:sz="8"/>
              <w:bottom w:val="single" w:color="0D1B2A" w:sz="8"/>
              <w:right w:val="single" w:color="0D1B2A" w:sz="8"/>
            </w:tcBorders>
            <w:shd w:fill="0D1B2A" w:val="clear"/>
            <w:tcMar>
              <w:top w:type="dxa" w:w="80"/>
              <w:left w:type="dxa" w:w="100"/>
              <w:bottom w:type="dxa" w:w="80"/>
              <w:right w:type="dxa" w:w="100"/>
            </w:tcMar>
          </w:tcPr>
          <w:p>
            <w:r>
              <w:rPr>
                <w:rFonts w:ascii="Arial" w:cs="Arial" w:eastAsia="Arial" w:hAnsi="Arial"/>
                <w:b/>
                <w:bCs/>
                <w:color w:val="FFFFFF"/>
                <w:sz w:val="17"/>
                <w:szCs w:val="17"/>
              </w:rPr>
              <w:t xml:space="preserve">Agent</w:t>
            </w:r>
          </w:p>
        </w:tc>
        <w:tc>
          <w:tcPr>
            <w:tcW w:type="dxa" w:w="820"/>
            <w:tcBorders>
              <w:top w:val="single" w:color="0D1B2A" w:sz="8"/>
              <w:left w:val="single" w:color="0D1B2A" w:sz="8"/>
              <w:bottom w:val="single" w:color="0D1B2A" w:sz="8"/>
              <w:right w:val="single" w:color="0D1B2A" w:sz="8"/>
            </w:tcBorders>
            <w:shd w:fill="0D1B2A" w:val="clear"/>
            <w:tcMar>
              <w:top w:type="dxa" w:w="80"/>
              <w:left w:type="dxa" w:w="100"/>
              <w:bottom w:type="dxa" w:w="80"/>
              <w:right w:type="dxa" w:w="100"/>
            </w:tcMar>
          </w:tcPr>
          <w:p>
            <w:r>
              <w:rPr>
                <w:rFonts w:ascii="Arial" w:cs="Arial" w:eastAsia="Arial" w:hAnsi="Arial"/>
                <w:b/>
                <w:bCs/>
                <w:color w:val="FFFFFF"/>
                <w:sz w:val="17"/>
                <w:szCs w:val="17"/>
              </w:rPr>
              <w:t xml:space="preserve">Model</w:t>
            </w:r>
          </w:p>
        </w:tc>
        <w:tc>
          <w:tcPr>
            <w:tcW w:type="dxa" w:w="1600"/>
            <w:tcBorders>
              <w:top w:val="single" w:color="0D1B2A" w:sz="8"/>
              <w:left w:val="single" w:color="0D1B2A" w:sz="8"/>
              <w:bottom w:val="single" w:color="0D1B2A" w:sz="8"/>
              <w:right w:val="single" w:color="0D1B2A" w:sz="8"/>
            </w:tcBorders>
            <w:shd w:fill="0D1B2A" w:val="clear"/>
            <w:tcMar>
              <w:top w:type="dxa" w:w="80"/>
              <w:left w:type="dxa" w:w="100"/>
              <w:bottom w:type="dxa" w:w="80"/>
              <w:right w:type="dxa" w:w="100"/>
            </w:tcMar>
          </w:tcPr>
          <w:p>
            <w:r>
              <w:rPr>
                <w:rFonts w:ascii="Arial" w:cs="Arial" w:eastAsia="Arial" w:hAnsi="Arial"/>
                <w:b/>
                <w:bCs/>
                <w:color w:val="FFFFFF"/>
                <w:sz w:val="17"/>
                <w:szCs w:val="17"/>
              </w:rPr>
              <w:t xml:space="preserve">Trigger</w:t>
            </w:r>
          </w:p>
        </w:tc>
        <w:tc>
          <w:tcPr>
            <w:tcW w:type="dxa" w:w="1800"/>
            <w:tcBorders>
              <w:top w:val="single" w:color="0D1B2A" w:sz="8"/>
              <w:left w:val="single" w:color="0D1B2A" w:sz="8"/>
              <w:bottom w:val="single" w:color="0D1B2A" w:sz="8"/>
              <w:right w:val="single" w:color="0D1B2A" w:sz="8"/>
            </w:tcBorders>
            <w:shd w:fill="0D1B2A" w:val="clear"/>
            <w:tcMar>
              <w:top w:type="dxa" w:w="80"/>
              <w:left w:type="dxa" w:w="100"/>
              <w:bottom w:type="dxa" w:w="80"/>
              <w:right w:type="dxa" w:w="100"/>
            </w:tcMar>
          </w:tcPr>
          <w:p>
            <w:r>
              <w:rPr>
                <w:rFonts w:ascii="Arial" w:cs="Arial" w:eastAsia="Arial" w:hAnsi="Arial"/>
                <w:b/>
                <w:bCs/>
                <w:color w:val="FFFFFF"/>
                <w:sz w:val="17"/>
                <w:szCs w:val="17"/>
              </w:rPr>
              <w:t xml:space="preserve">Output</w:t>
            </w:r>
          </w:p>
        </w:tc>
        <w:tc>
          <w:tcPr>
            <w:tcW w:type="dxa" w:w="1700"/>
            <w:tcBorders>
              <w:top w:val="single" w:color="0D1B2A" w:sz="8"/>
              <w:left w:val="single" w:color="0D1B2A" w:sz="8"/>
              <w:bottom w:val="single" w:color="0D1B2A" w:sz="8"/>
              <w:right w:val="single" w:color="0D1B2A" w:sz="8"/>
            </w:tcBorders>
            <w:shd w:fill="0D1B2A" w:val="clear"/>
            <w:tcMar>
              <w:top w:type="dxa" w:w="80"/>
              <w:left w:type="dxa" w:w="100"/>
              <w:bottom w:type="dxa" w:w="80"/>
              <w:right w:type="dxa" w:w="100"/>
            </w:tcMar>
          </w:tcPr>
          <w:p>
            <w:r>
              <w:rPr>
                <w:rFonts w:ascii="Arial" w:cs="Arial" w:eastAsia="Arial" w:hAnsi="Arial"/>
                <w:b/>
                <w:bCs/>
                <w:color w:val="FFFFFF"/>
                <w:sz w:val="17"/>
                <w:szCs w:val="17"/>
              </w:rPr>
              <w:t xml:space="preserve">Tools</w:t>
            </w:r>
          </w:p>
        </w:tc>
        <w:tc>
          <w:tcPr>
            <w:tcW w:type="dxa" w:w="1740"/>
            <w:tcBorders>
              <w:top w:val="single" w:color="0D1B2A" w:sz="8"/>
              <w:left w:val="single" w:color="0D1B2A" w:sz="8"/>
              <w:bottom w:val="single" w:color="0D1B2A" w:sz="8"/>
              <w:right w:val="single" w:color="0D1B2A" w:sz="8"/>
            </w:tcBorders>
            <w:shd w:fill="0D1B2A" w:val="clear"/>
            <w:tcMar>
              <w:top w:type="dxa" w:w="80"/>
              <w:left w:type="dxa" w:w="100"/>
              <w:bottom w:type="dxa" w:w="80"/>
              <w:right w:type="dxa" w:w="100"/>
            </w:tcMar>
          </w:tcPr>
          <w:p>
            <w:r>
              <w:rPr>
                <w:rFonts w:ascii="Arial" w:cs="Arial" w:eastAsia="Arial" w:hAnsi="Arial"/>
                <w:b/>
                <w:bCs/>
                <w:color w:val="FFFFFF"/>
                <w:sz w:val="17"/>
                <w:szCs w:val="17"/>
              </w:rPr>
              <w:t xml:space="preserve">Writes To</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SMS Opener</w:t>
            </w:r>
          </w:p>
        </w:tc>
        <w:tc>
          <w:tcPr>
            <w:tcW w:type="dxa" w:w="8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Sonnet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Lead enriched + CASL cleared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Personalised opening SMS referencing signal</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Twilio API, Supabase</w:t>
            </w:r>
          </w:p>
        </w:tc>
        <w:tc>
          <w:tcPr>
            <w:tcW w:type="dxa" w:w="17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sms_threads, leads.stage</w:t>
            </w:r>
          </w:p>
        </w:tc>
      </w:tr>
      <w:tr>
        <w:tc>
          <w:tcPr>
            <w:tcW w:type="dxa" w:w="170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SMS Classifier</w:t>
            </w:r>
          </w:p>
        </w:tc>
        <w:tc>
          <w:tcPr>
            <w:tcW w:type="dxa" w:w="82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Sonnet</w:t>
            </w:r>
          </w:p>
        </w:tc>
        <w:tc>
          <w:tcPr>
            <w:tcW w:type="dxa" w:w="160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Inbound SMS received (Twilio webhook)</w:t>
            </w:r>
          </w:p>
        </w:tc>
        <w:tc>
          <w:tcPr>
            <w:tcW w:type="dxa" w:w="180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Classify: POSITIVE / QUESTION / TIMING / OPT_OUT / UNKNOWN</w:t>
            </w:r>
          </w:p>
        </w:tc>
        <w:tc>
          <w:tcPr>
            <w:tcW w:type="dxa" w:w="170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Supabase read</w:t>
            </w:r>
          </w:p>
        </w:tc>
        <w:tc>
          <w:tcPr>
            <w:tcW w:type="dxa" w:w="174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sms_threads.classification</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SMS Responder</w:t>
            </w:r>
          </w:p>
        </w:tc>
        <w:tc>
          <w:tcPr>
            <w:tcW w:type="dxa" w:w="8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Sonnet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Classification = POSITIVE or QUESTION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Draft contextual reply, include Cal.com link if POSITIVE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Supabase read, Twilio API</w:t>
            </w:r>
          </w:p>
        </w:tc>
        <w:tc>
          <w:tcPr>
            <w:tcW w:type="dxa" w:w="17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sms_threads (outbound)</w:t>
            </w:r>
          </w:p>
        </w:tc>
      </w:tr>
      <w:tr>
        <w:tc>
          <w:tcPr>
            <w:tcW w:type="dxa" w:w="170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SMS Follow-Up</w:t>
            </w:r>
          </w:p>
        </w:tc>
        <w:tc>
          <w:tcPr>
            <w:tcW w:type="dxa" w:w="82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Haiku</w:t>
            </w:r>
          </w:p>
        </w:tc>
        <w:tc>
          <w:tcPr>
            <w:tcW w:type="dxa" w:w="160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48h cron — no reply to opener</w:t>
            </w:r>
          </w:p>
        </w:tc>
        <w:tc>
          <w:tcPr>
            <w:tcW w:type="dxa" w:w="180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New angle follow-up SMS (value-add, not repeat)</w:t>
            </w:r>
          </w:p>
        </w:tc>
        <w:tc>
          <w:tcPr>
            <w:tcW w:type="dxa" w:w="170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Twilio API, Supabase</w:t>
            </w:r>
          </w:p>
        </w:tc>
        <w:tc>
          <w:tcPr>
            <w:tcW w:type="dxa" w:w="174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sms_threads, leads.stage</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Opt-Out Handler</w:t>
            </w:r>
          </w:p>
        </w:tc>
        <w:tc>
          <w:tcPr>
            <w:tcW w:type="dxa" w:w="8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Haiku</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OPT_OUT classified in SMS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Stop all contact, log opt-out, update Supabase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Twilio API, Supabase</w:t>
            </w:r>
          </w:p>
        </w:tc>
        <w:tc>
          <w:tcPr>
            <w:tcW w:type="dxa" w:w="17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leads.sms_opted_in = false</w:t>
            </w:r>
          </w:p>
        </w:tc>
      </w:tr>
      <w:tr>
        <w:tc>
          <w:tcPr>
            <w:tcW w:type="dxa" w:w="170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SMS QC Reviewer</w:t>
            </w:r>
          </w:p>
        </w:tc>
        <w:tc>
          <w:tcPr>
            <w:tcW w:type="dxa" w:w="82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Sonnet</w:t>
            </w:r>
          </w:p>
        </w:tc>
        <w:tc>
          <w:tcPr>
            <w:tcW w:type="dxa" w:w="160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Any draft SMS before send</w:t>
            </w:r>
          </w:p>
        </w:tc>
        <w:tc>
          <w:tcPr>
            <w:tcW w:type="dxa" w:w="180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Score 1-10: tone, CASL compliance, CTA. PASS or REVISE</w:t>
            </w:r>
          </w:p>
        </w:tc>
        <w:tc>
          <w:tcPr>
            <w:tcW w:type="dxa" w:w="170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Supabase read</w:t>
            </w:r>
          </w:p>
        </w:tc>
        <w:tc>
          <w:tcPr>
            <w:tcW w:type="dxa" w:w="174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None (gate only)</w:t>
            </w:r>
          </w:p>
        </w:tc>
      </w:tr>
    </w:tbl>
    <w:p>
      <w:pPr>
        <w:spacing w:after="160"/>
      </w:pPr>
      <w:r>
        <w:t xml:space="preserve"/>
      </w:r>
    </w:p>
    <w:p>
      <w:pPr>
        <w:pStyle w:val="Heading2"/>
        <w:pBdr>
          <w:bottom w:val="single" w:color="00B4D8" w:sz="6" w:space="1"/>
        </w:pBdr>
        <w:spacing w:after="160" w:before="360"/>
      </w:pPr>
      <w:r>
        <w:rPr>
          <w:rFonts w:ascii="Arial" w:cs="Arial" w:eastAsia="Arial" w:hAnsi="Arial"/>
          <w:b/>
          <w:bCs/>
          <w:color w:val="1B4F72"/>
          <w:sz w:val="26"/>
          <w:szCs w:val="26"/>
        </w:rPr>
        <w:t xml:space="preserve">5.3 Booking &amp; Stage Agents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20"/>
        <w:gridCol w:w="1600"/>
        <w:gridCol w:w="1800"/>
        <w:gridCol w:w="1700"/>
        <w:gridCol w:w="1740"/>
      </w:tblGrid>
      <w:tr>
        <w:trPr>
          <w:tblHeader/>
        </w:trPr>
        <w:tc>
          <w:tcPr>
            <w:tcW w:type="dxa" w:w="1700"/>
            <w:tcBorders>
              <w:top w:val="single" w:color="0D1B2A" w:sz="8"/>
              <w:left w:val="single" w:color="0D1B2A" w:sz="8"/>
              <w:bottom w:val="single" w:color="0D1B2A" w:sz="8"/>
              <w:right w:val="single" w:color="0D1B2A" w:sz="8"/>
            </w:tcBorders>
            <w:shd w:fill="0D1B2A" w:val="clear"/>
            <w:tcMar>
              <w:top w:type="dxa" w:w="80"/>
              <w:left w:type="dxa" w:w="100"/>
              <w:bottom w:type="dxa" w:w="80"/>
              <w:right w:type="dxa" w:w="100"/>
            </w:tcMar>
          </w:tcPr>
          <w:p>
            <w:r>
              <w:rPr>
                <w:rFonts w:ascii="Arial" w:cs="Arial" w:eastAsia="Arial" w:hAnsi="Arial"/>
                <w:b/>
                <w:bCs/>
                <w:color w:val="FFFFFF"/>
                <w:sz w:val="17"/>
                <w:szCs w:val="17"/>
              </w:rPr>
              <w:t xml:space="preserve">Agent</w:t>
            </w:r>
          </w:p>
        </w:tc>
        <w:tc>
          <w:tcPr>
            <w:tcW w:type="dxa" w:w="820"/>
            <w:tcBorders>
              <w:top w:val="single" w:color="0D1B2A" w:sz="8"/>
              <w:left w:val="single" w:color="0D1B2A" w:sz="8"/>
              <w:bottom w:val="single" w:color="0D1B2A" w:sz="8"/>
              <w:right w:val="single" w:color="0D1B2A" w:sz="8"/>
            </w:tcBorders>
            <w:shd w:fill="0D1B2A" w:val="clear"/>
            <w:tcMar>
              <w:top w:type="dxa" w:w="80"/>
              <w:left w:type="dxa" w:w="100"/>
              <w:bottom w:type="dxa" w:w="80"/>
              <w:right w:type="dxa" w:w="100"/>
            </w:tcMar>
          </w:tcPr>
          <w:p>
            <w:r>
              <w:rPr>
                <w:rFonts w:ascii="Arial" w:cs="Arial" w:eastAsia="Arial" w:hAnsi="Arial"/>
                <w:b/>
                <w:bCs/>
                <w:color w:val="FFFFFF"/>
                <w:sz w:val="17"/>
                <w:szCs w:val="17"/>
              </w:rPr>
              <w:t xml:space="preserve">Model</w:t>
            </w:r>
          </w:p>
        </w:tc>
        <w:tc>
          <w:tcPr>
            <w:tcW w:type="dxa" w:w="1600"/>
            <w:tcBorders>
              <w:top w:val="single" w:color="0D1B2A" w:sz="8"/>
              <w:left w:val="single" w:color="0D1B2A" w:sz="8"/>
              <w:bottom w:val="single" w:color="0D1B2A" w:sz="8"/>
              <w:right w:val="single" w:color="0D1B2A" w:sz="8"/>
            </w:tcBorders>
            <w:shd w:fill="0D1B2A" w:val="clear"/>
            <w:tcMar>
              <w:top w:type="dxa" w:w="80"/>
              <w:left w:type="dxa" w:w="100"/>
              <w:bottom w:type="dxa" w:w="80"/>
              <w:right w:type="dxa" w:w="100"/>
            </w:tcMar>
          </w:tcPr>
          <w:p>
            <w:r>
              <w:rPr>
                <w:rFonts w:ascii="Arial" w:cs="Arial" w:eastAsia="Arial" w:hAnsi="Arial"/>
                <w:b/>
                <w:bCs/>
                <w:color w:val="FFFFFF"/>
                <w:sz w:val="17"/>
                <w:szCs w:val="17"/>
              </w:rPr>
              <w:t xml:space="preserve">Trigger</w:t>
            </w:r>
          </w:p>
        </w:tc>
        <w:tc>
          <w:tcPr>
            <w:tcW w:type="dxa" w:w="1800"/>
            <w:tcBorders>
              <w:top w:val="single" w:color="0D1B2A" w:sz="8"/>
              <w:left w:val="single" w:color="0D1B2A" w:sz="8"/>
              <w:bottom w:val="single" w:color="0D1B2A" w:sz="8"/>
              <w:right w:val="single" w:color="0D1B2A" w:sz="8"/>
            </w:tcBorders>
            <w:shd w:fill="0D1B2A" w:val="clear"/>
            <w:tcMar>
              <w:top w:type="dxa" w:w="80"/>
              <w:left w:type="dxa" w:w="100"/>
              <w:bottom w:type="dxa" w:w="80"/>
              <w:right w:type="dxa" w:w="100"/>
            </w:tcMar>
          </w:tcPr>
          <w:p>
            <w:r>
              <w:rPr>
                <w:rFonts w:ascii="Arial" w:cs="Arial" w:eastAsia="Arial" w:hAnsi="Arial"/>
                <w:b/>
                <w:bCs/>
                <w:color w:val="FFFFFF"/>
                <w:sz w:val="17"/>
                <w:szCs w:val="17"/>
              </w:rPr>
              <w:t xml:space="preserve">Output</w:t>
            </w:r>
          </w:p>
        </w:tc>
        <w:tc>
          <w:tcPr>
            <w:tcW w:type="dxa" w:w="1700"/>
            <w:tcBorders>
              <w:top w:val="single" w:color="0D1B2A" w:sz="8"/>
              <w:left w:val="single" w:color="0D1B2A" w:sz="8"/>
              <w:bottom w:val="single" w:color="0D1B2A" w:sz="8"/>
              <w:right w:val="single" w:color="0D1B2A" w:sz="8"/>
            </w:tcBorders>
            <w:shd w:fill="0D1B2A" w:val="clear"/>
            <w:tcMar>
              <w:top w:type="dxa" w:w="80"/>
              <w:left w:type="dxa" w:w="100"/>
              <w:bottom w:type="dxa" w:w="80"/>
              <w:right w:type="dxa" w:w="100"/>
            </w:tcMar>
          </w:tcPr>
          <w:p>
            <w:r>
              <w:rPr>
                <w:rFonts w:ascii="Arial" w:cs="Arial" w:eastAsia="Arial" w:hAnsi="Arial"/>
                <w:b/>
                <w:bCs/>
                <w:color w:val="FFFFFF"/>
                <w:sz w:val="17"/>
                <w:szCs w:val="17"/>
              </w:rPr>
              <w:t xml:space="preserve">Tools</w:t>
            </w:r>
          </w:p>
        </w:tc>
        <w:tc>
          <w:tcPr>
            <w:tcW w:type="dxa" w:w="1740"/>
            <w:tcBorders>
              <w:top w:val="single" w:color="0D1B2A" w:sz="8"/>
              <w:left w:val="single" w:color="0D1B2A" w:sz="8"/>
              <w:bottom w:val="single" w:color="0D1B2A" w:sz="8"/>
              <w:right w:val="single" w:color="0D1B2A" w:sz="8"/>
            </w:tcBorders>
            <w:shd w:fill="0D1B2A" w:val="clear"/>
            <w:tcMar>
              <w:top w:type="dxa" w:w="80"/>
              <w:left w:type="dxa" w:w="100"/>
              <w:bottom w:type="dxa" w:w="80"/>
              <w:right w:type="dxa" w:w="100"/>
            </w:tcMar>
          </w:tcPr>
          <w:p>
            <w:r>
              <w:rPr>
                <w:rFonts w:ascii="Arial" w:cs="Arial" w:eastAsia="Arial" w:hAnsi="Arial"/>
                <w:b/>
                <w:bCs/>
                <w:color w:val="FFFFFF"/>
                <w:sz w:val="17"/>
                <w:szCs w:val="17"/>
              </w:rPr>
              <w:t xml:space="preserve">Writes To</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Stage Update</w:t>
            </w:r>
          </w:p>
        </w:tc>
        <w:tc>
          <w:tcPr>
            <w:tcW w:type="dxa" w:w="8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Haiku</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Cal.com webhook OR positive SMS classified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Move kanban stage, log activity in Supabase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Supabase SDK</w:t>
            </w:r>
          </w:p>
        </w:tc>
        <w:tc>
          <w:tcPr>
            <w:tcW w:type="dxa" w:w="17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leads.stage, activities</w:t>
            </w:r>
          </w:p>
        </w:tc>
      </w:tr>
      <w:tr>
        <w:tc>
          <w:tcPr>
            <w:tcW w:type="dxa" w:w="170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Appointment Notifier</w:t>
            </w:r>
          </w:p>
        </w:tc>
        <w:tc>
          <w:tcPr>
            <w:tcW w:type="dxa" w:w="82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Haiku</w:t>
            </w:r>
          </w:p>
        </w:tc>
        <w:tc>
          <w:tcPr>
            <w:tcW w:type="dxa" w:w="160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Cal.com booking confirmed</w:t>
            </w:r>
          </w:p>
        </w:tc>
        <w:tc>
          <w:tcPr>
            <w:tcW w:type="dxa" w:w="180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SMS confirmation to lead + Slack alert to client</w:t>
            </w:r>
          </w:p>
        </w:tc>
        <w:tc>
          <w:tcPr>
            <w:tcW w:type="dxa" w:w="170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Twilio API, Slack, Supabase</w:t>
            </w:r>
          </w:p>
        </w:tc>
        <w:tc>
          <w:tcPr>
            <w:tcW w:type="dxa" w:w="174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appointments, sms_threads</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No-Show Handler</w:t>
            </w:r>
          </w:p>
        </w:tc>
        <w:tc>
          <w:tcPr>
            <w:tcW w:type="dxa" w:w="8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Haiku</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Cal.com no-show event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Send re-booking SMS, update appointment status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Twilio API, Supabase</w:t>
            </w:r>
          </w:p>
        </w:tc>
        <w:tc>
          <w:tcPr>
            <w:tcW w:type="dxa" w:w="17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appointments.status, sms_threads</w:t>
            </w:r>
          </w:p>
        </w:tc>
      </w:tr>
    </w:tbl>
    <w:p>
      <w:pPr>
        <w:spacing w:after="160"/>
      </w:pPr>
      <w:r>
        <w:t xml:space="preserve"/>
      </w:r>
    </w:p>
    <w:p>
      <w:pPr>
        <w:pStyle w:val="Heading2"/>
        <w:pBdr>
          <w:bottom w:val="single" w:color="00B4D8" w:sz="6" w:space="1"/>
        </w:pBdr>
        <w:spacing w:after="160" w:before="360"/>
      </w:pPr>
      <w:r>
        <w:rPr>
          <w:rFonts w:ascii="Arial" w:cs="Arial" w:eastAsia="Arial" w:hAnsi="Arial"/>
          <w:b/>
          <w:bCs/>
          <w:color w:val="1B4F72"/>
          <w:sz w:val="26"/>
          <w:szCs w:val="26"/>
        </w:rPr>
        <w:t xml:space="preserve">5.4 Reporting Agents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20"/>
        <w:gridCol w:w="1600"/>
        <w:gridCol w:w="1800"/>
        <w:gridCol w:w="1700"/>
        <w:gridCol w:w="1740"/>
      </w:tblGrid>
      <w:tr>
        <w:trPr>
          <w:tblHeader/>
        </w:trPr>
        <w:tc>
          <w:tcPr>
            <w:tcW w:type="dxa" w:w="1700"/>
            <w:tcBorders>
              <w:top w:val="single" w:color="0D1B2A" w:sz="8"/>
              <w:left w:val="single" w:color="0D1B2A" w:sz="8"/>
              <w:bottom w:val="single" w:color="0D1B2A" w:sz="8"/>
              <w:right w:val="single" w:color="0D1B2A" w:sz="8"/>
            </w:tcBorders>
            <w:shd w:fill="0D1B2A" w:val="clear"/>
            <w:tcMar>
              <w:top w:type="dxa" w:w="80"/>
              <w:left w:type="dxa" w:w="100"/>
              <w:bottom w:type="dxa" w:w="80"/>
              <w:right w:type="dxa" w:w="100"/>
            </w:tcMar>
          </w:tcPr>
          <w:p>
            <w:r>
              <w:rPr>
                <w:rFonts w:ascii="Arial" w:cs="Arial" w:eastAsia="Arial" w:hAnsi="Arial"/>
                <w:b/>
                <w:bCs/>
                <w:color w:val="FFFFFF"/>
                <w:sz w:val="17"/>
                <w:szCs w:val="17"/>
              </w:rPr>
              <w:t xml:space="preserve">Agent</w:t>
            </w:r>
          </w:p>
        </w:tc>
        <w:tc>
          <w:tcPr>
            <w:tcW w:type="dxa" w:w="820"/>
            <w:tcBorders>
              <w:top w:val="single" w:color="0D1B2A" w:sz="8"/>
              <w:left w:val="single" w:color="0D1B2A" w:sz="8"/>
              <w:bottom w:val="single" w:color="0D1B2A" w:sz="8"/>
              <w:right w:val="single" w:color="0D1B2A" w:sz="8"/>
            </w:tcBorders>
            <w:shd w:fill="0D1B2A" w:val="clear"/>
            <w:tcMar>
              <w:top w:type="dxa" w:w="80"/>
              <w:left w:type="dxa" w:w="100"/>
              <w:bottom w:type="dxa" w:w="80"/>
              <w:right w:type="dxa" w:w="100"/>
            </w:tcMar>
          </w:tcPr>
          <w:p>
            <w:r>
              <w:rPr>
                <w:rFonts w:ascii="Arial" w:cs="Arial" w:eastAsia="Arial" w:hAnsi="Arial"/>
                <w:b/>
                <w:bCs/>
                <w:color w:val="FFFFFF"/>
                <w:sz w:val="17"/>
                <w:szCs w:val="17"/>
              </w:rPr>
              <w:t xml:space="preserve">Model</w:t>
            </w:r>
          </w:p>
        </w:tc>
        <w:tc>
          <w:tcPr>
            <w:tcW w:type="dxa" w:w="1600"/>
            <w:tcBorders>
              <w:top w:val="single" w:color="0D1B2A" w:sz="8"/>
              <w:left w:val="single" w:color="0D1B2A" w:sz="8"/>
              <w:bottom w:val="single" w:color="0D1B2A" w:sz="8"/>
              <w:right w:val="single" w:color="0D1B2A" w:sz="8"/>
            </w:tcBorders>
            <w:shd w:fill="0D1B2A" w:val="clear"/>
            <w:tcMar>
              <w:top w:type="dxa" w:w="80"/>
              <w:left w:type="dxa" w:w="100"/>
              <w:bottom w:type="dxa" w:w="80"/>
              <w:right w:type="dxa" w:w="100"/>
            </w:tcMar>
          </w:tcPr>
          <w:p>
            <w:r>
              <w:rPr>
                <w:rFonts w:ascii="Arial" w:cs="Arial" w:eastAsia="Arial" w:hAnsi="Arial"/>
                <w:b/>
                <w:bCs/>
                <w:color w:val="FFFFFF"/>
                <w:sz w:val="17"/>
                <w:szCs w:val="17"/>
              </w:rPr>
              <w:t xml:space="preserve">Trigger</w:t>
            </w:r>
          </w:p>
        </w:tc>
        <w:tc>
          <w:tcPr>
            <w:tcW w:type="dxa" w:w="1800"/>
            <w:tcBorders>
              <w:top w:val="single" w:color="0D1B2A" w:sz="8"/>
              <w:left w:val="single" w:color="0D1B2A" w:sz="8"/>
              <w:bottom w:val="single" w:color="0D1B2A" w:sz="8"/>
              <w:right w:val="single" w:color="0D1B2A" w:sz="8"/>
            </w:tcBorders>
            <w:shd w:fill="0D1B2A" w:val="clear"/>
            <w:tcMar>
              <w:top w:type="dxa" w:w="80"/>
              <w:left w:type="dxa" w:w="100"/>
              <w:bottom w:type="dxa" w:w="80"/>
              <w:right w:type="dxa" w:w="100"/>
            </w:tcMar>
          </w:tcPr>
          <w:p>
            <w:r>
              <w:rPr>
                <w:rFonts w:ascii="Arial" w:cs="Arial" w:eastAsia="Arial" w:hAnsi="Arial"/>
                <w:b/>
                <w:bCs/>
                <w:color w:val="FFFFFF"/>
                <w:sz w:val="17"/>
                <w:szCs w:val="17"/>
              </w:rPr>
              <w:t xml:space="preserve">Output</w:t>
            </w:r>
          </w:p>
        </w:tc>
        <w:tc>
          <w:tcPr>
            <w:tcW w:type="dxa" w:w="1700"/>
            <w:tcBorders>
              <w:top w:val="single" w:color="0D1B2A" w:sz="8"/>
              <w:left w:val="single" w:color="0D1B2A" w:sz="8"/>
              <w:bottom w:val="single" w:color="0D1B2A" w:sz="8"/>
              <w:right w:val="single" w:color="0D1B2A" w:sz="8"/>
            </w:tcBorders>
            <w:shd w:fill="0D1B2A" w:val="clear"/>
            <w:tcMar>
              <w:top w:type="dxa" w:w="80"/>
              <w:left w:type="dxa" w:w="100"/>
              <w:bottom w:type="dxa" w:w="80"/>
              <w:right w:type="dxa" w:w="100"/>
            </w:tcMar>
          </w:tcPr>
          <w:p>
            <w:r>
              <w:rPr>
                <w:rFonts w:ascii="Arial" w:cs="Arial" w:eastAsia="Arial" w:hAnsi="Arial"/>
                <w:b/>
                <w:bCs/>
                <w:color w:val="FFFFFF"/>
                <w:sz w:val="17"/>
                <w:szCs w:val="17"/>
              </w:rPr>
              <w:t xml:space="preserve">Tools</w:t>
            </w:r>
          </w:p>
        </w:tc>
        <w:tc>
          <w:tcPr>
            <w:tcW w:type="dxa" w:w="1740"/>
            <w:tcBorders>
              <w:top w:val="single" w:color="0D1B2A" w:sz="8"/>
              <w:left w:val="single" w:color="0D1B2A" w:sz="8"/>
              <w:bottom w:val="single" w:color="0D1B2A" w:sz="8"/>
              <w:right w:val="single" w:color="0D1B2A" w:sz="8"/>
            </w:tcBorders>
            <w:shd w:fill="0D1B2A" w:val="clear"/>
            <w:tcMar>
              <w:top w:type="dxa" w:w="80"/>
              <w:left w:type="dxa" w:w="100"/>
              <w:bottom w:type="dxa" w:w="80"/>
              <w:right w:type="dxa" w:w="100"/>
            </w:tcMar>
          </w:tcPr>
          <w:p>
            <w:r>
              <w:rPr>
                <w:rFonts w:ascii="Arial" w:cs="Arial" w:eastAsia="Arial" w:hAnsi="Arial"/>
                <w:b/>
                <w:bCs/>
                <w:color w:val="FFFFFF"/>
                <w:sz w:val="17"/>
                <w:szCs w:val="17"/>
              </w:rPr>
              <w:t xml:space="preserve">Writes To</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Morning Report</w:t>
            </w:r>
          </w:p>
        </w:tc>
        <w:tc>
          <w:tcPr>
            <w:tcW w:type="dxa" w:w="8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Sonnet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Cron 07:30 AM</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Slack card: pipeline stats, hot leads, today's appointments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InsForge + all Supabase clients, Slack MCP</w:t>
            </w:r>
          </w:p>
        </w:tc>
        <w:tc>
          <w:tcPr>
            <w:tcW w:type="dxa" w:w="17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agency_metrics</w:t>
            </w:r>
          </w:p>
        </w:tc>
      </w:tr>
      <w:tr>
        <w:tc>
          <w:tcPr>
            <w:tcW w:type="dxa" w:w="170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Weekly Report</w:t>
            </w:r>
          </w:p>
        </w:tc>
        <w:tc>
          <w:tcPr>
            <w:tcW w:type="dxa" w:w="82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Sonnet</w:t>
            </w:r>
          </w:p>
        </w:tc>
        <w:tc>
          <w:tcPr>
            <w:tcW w:type="dxa" w:w="160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Cron Mon 09:00 AM</w:t>
            </w:r>
          </w:p>
        </w:tc>
        <w:tc>
          <w:tcPr>
            <w:tcW w:type="dxa" w:w="180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Google Sheet row + Slack summary per client</w:t>
            </w:r>
          </w:p>
        </w:tc>
        <w:tc>
          <w:tcPr>
            <w:tcW w:type="dxa" w:w="170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InsForge + Supabase clients, gws Sheets</w:t>
            </w:r>
          </w:p>
        </w:tc>
        <w:tc>
          <w:tcPr>
            <w:tcW w:type="dxa" w:w="174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campaign_stats</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Evening Digest</w:t>
            </w:r>
          </w:p>
        </w:tc>
        <w:tc>
          <w:tcPr>
            <w:tcW w:type="dxa" w:w="8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Haiku</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Cron 06:00 PM</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Action items needing human review, opt-outs, bounces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InsForge + Supabase, Slack MCP</w:t>
            </w:r>
          </w:p>
        </w:tc>
        <w:tc>
          <w:tcPr>
            <w:tcW w:type="dxa" w:w="17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color w:val="1C1C2E"/>
                <w:sz w:val="17"/>
                <w:szCs w:val="17"/>
              </w:rPr>
              <w:t xml:space="preserve">agent_log</w:t>
            </w:r>
          </w:p>
        </w:tc>
      </w:tr>
      <w:tr>
        <w:tc>
          <w:tcPr>
            <w:tcW w:type="dxa" w:w="170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Telemetry Check</w:t>
            </w:r>
          </w:p>
        </w:tc>
        <w:tc>
          <w:tcPr>
            <w:tcW w:type="dxa" w:w="82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Haiku</w:t>
            </w:r>
          </w:p>
        </w:tc>
        <w:tc>
          <w:tcPr>
            <w:tcW w:type="dxa" w:w="160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Cron every 60 min</w:t>
            </w:r>
          </w:p>
        </w:tc>
        <w:tc>
          <w:tcPr>
            <w:tcW w:type="dxa" w:w="180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Audit agent completions, flag failures, update Mission Control</w:t>
            </w:r>
          </w:p>
        </w:tc>
        <w:tc>
          <w:tcPr>
            <w:tcW w:type="dxa" w:w="170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InsForge agent_log</w:t>
            </w:r>
          </w:p>
        </w:tc>
        <w:tc>
          <w:tcPr>
            <w:tcW w:type="dxa" w:w="1740"/>
            <w:tcBorders>
              <w:top w:val="single" w:color="CCCCCC" w:sz="4"/>
              <w:left w:val="single" w:color="CCCCCC" w:sz="4"/>
              <w:bottom w:val="single" w:color="CCCCCC" w:sz="4"/>
              <w:right w:val="single" w:color="CCCCCC" w:sz="4"/>
            </w:tcBorders>
            <w:shd w:fill="F7F8FC" w:val="clear"/>
            <w:tcMar>
              <w:top w:type="dxa" w:w="80"/>
              <w:left w:type="dxa" w:w="100"/>
              <w:bottom w:type="dxa" w:w="80"/>
              <w:right w:type="dxa" w:w="100"/>
            </w:tcMar>
          </w:tcPr>
          <w:p>
            <w:r>
              <w:rPr>
                <w:rFonts w:ascii="Arial" w:cs="Arial" w:eastAsia="Arial" w:hAnsi="Arial"/>
                <w:color w:val="1C1C2E"/>
                <w:sz w:val="17"/>
                <w:szCs w:val="17"/>
              </w:rPr>
              <w:t xml:space="preserve">agent_log.status</w:t>
            </w:r>
          </w:p>
        </w:tc>
      </w:tr>
    </w:tbl>
    <w:p>
      <w:pPr>
        <w:spacing w:after="160"/>
      </w:pPr>
      <w:r>
        <w:t xml:space="preserve"/>
      </w:r>
    </w:p>
    <w:p>
      <w:r>
        <w:br w:type="page"/>
      </w:r>
    </w:p>
    <w:p>
      <w:pPr>
        <w:pStyle w:val="Heading1"/>
        <w:shd w:fill="0D1B2A" w:val="clear"/>
        <w:spacing w:after="240" w:before="480"/>
        <w:ind w:left="200" w:right="200"/>
      </w:pPr>
      <w:r>
        <w:rPr>
          <w:rFonts w:ascii="Arial" w:cs="Arial" w:eastAsia="Arial" w:hAnsi="Arial"/>
          <w:b/>
          <w:bCs/>
          <w:color w:val="FFFFFF"/>
          <w:sz w:val="34"/>
          <w:szCs w:val="34"/>
        </w:rPr>
        <w:t xml:space="preserve">6. Core Revenue Workflow</w:t>
      </w:r>
    </w:p>
    <w:p>
      <w:pPr>
        <w:spacing w:after="80"/>
      </w:pPr>
      <w:r>
        <w:t xml:space="preserve"/>
      </w:r>
    </w:p>
    <w:p>
      <w:pPr>
        <w:spacing w:after="160"/>
      </w:pPr>
      <w:r>
        <w:rPr>
          <w:rFonts w:ascii="Arial" w:cs="Arial" w:eastAsia="Arial" w:hAnsi="Arial"/>
          <w:color w:val="1C1C2E"/>
          <w:sz w:val="20"/>
          <w:szCs w:val="20"/>
        </w:rPr>
        <w:t xml:space="preserve">This is the end-to-end flow that generates revenue for every client. Lead found → qualified → SMS conversation → appointment booked. Every step is automated. Human review is only required on SMS drafts before the first send.</w:t>
      </w:r>
    </w:p>
    <w:p>
      <w:pPr>
        <w:spacing w:after="160"/>
      </w:pPr>
      <w:r>
        <w:t xml:space="preserve"/>
      </w:r>
    </w:p>
    <w:p>
      <w:pPr>
        <w:pStyle w:val="Heading2"/>
        <w:pBdr>
          <w:bottom w:val="single" w:color="00B4D8" w:sz="6" w:space="1"/>
        </w:pBdr>
        <w:spacing w:after="160" w:before="360"/>
      </w:pPr>
      <w:r>
        <w:rPr>
          <w:rFonts w:ascii="Arial" w:cs="Arial" w:eastAsia="Arial" w:hAnsi="Arial"/>
          <w:b/>
          <w:bCs/>
          <w:color w:val="1B4F72"/>
          <w:sz w:val="26"/>
          <w:szCs w:val="26"/>
        </w:rPr>
        <w:t xml:space="preserve">6.1 Lead Found → Appointment Booked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6680"/>
      </w:tblGrid>
      <w:tr>
        <w:tc>
          <w:tcPr>
            <w:tcW w:type="dxa" w:w="480"/>
            <w:tcBorders>
              <w:top w:val="single" w:color="00B4D8" w:sz="8"/>
              <w:left w:val="single" w:color="00B4D8" w:sz="8"/>
              <w:bottom w:val="single" w:color="00B4D8" w:sz="8"/>
              <w:right w:val="single" w:color="00B4D8" w:sz="8"/>
            </w:tcBorders>
            <w:shd w:fill="00B4D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w:t>
            </w:r>
          </w:p>
        </w:tc>
        <w:tc>
          <w:tcPr>
            <w:tcW w:type="dxa" w:w="2200"/>
            <w:tcBorders>
              <w:top w:val="single" w:color="00B4D8" w:sz="8"/>
              <w:left w:val="single" w:color="00B4D8" w:sz="8"/>
              <w:bottom w:val="single" w:color="00B4D8" w:sz="8"/>
              <w:right w:val="single" w:color="00B4D8" w:sz="8"/>
            </w:tcBorders>
            <w:shd w:fill="FFFFFF" w:val="clear"/>
            <w:tcMar>
              <w:top w:type="dxa" w:w="80"/>
              <w:left w:type="dxa" w:w="120"/>
              <w:bottom w:type="dxa" w:w="80"/>
              <w:right w:type="dxa" w:w="120"/>
            </w:tcMar>
          </w:tcPr>
          <w:p>
            <w:r>
              <w:rPr>
                <w:rFonts w:ascii="Arial" w:cs="Arial" w:eastAsia="Arial" w:hAnsi="Arial"/>
                <w:b/>
                <w:bCs/>
                <w:color w:val="1B4F72"/>
                <w:sz w:val="18"/>
                <w:szCs w:val="18"/>
              </w:rPr>
              <w:t xml:space="preserve">Lead Sniper AI</w:t>
            </w:r>
          </w:p>
        </w:tc>
        <w:tc>
          <w:tcPr>
            <w:tcW w:type="dxa" w:w="6680"/>
            <w:tcBorders>
              <w:top w:val="single" w:color="00B4D8" w:sz="8"/>
              <w:left w:val="single" w:color="00B4D8" w:sz="8"/>
              <w:bottom w:val="single" w:color="00B4D8" w:sz="8"/>
              <w:right w:val="single" w:color="00B4D8" w:sz="8"/>
            </w:tcBorders>
            <w:shd w:fill="FFFFFF" w:val="clear"/>
            <w:tcMar>
              <w:top w:type="dxa" w:w="80"/>
              <w:left w:type="dxa" w:w="120"/>
              <w:bottom w:type="dxa" w:w="80"/>
              <w:right w:type="dxa" w:w="120"/>
            </w:tcMar>
          </w:tcPr>
          <w:p>
            <w:r>
              <w:rPr>
                <w:rFonts w:ascii="Arial" w:cs="Arial" w:eastAsia="Arial" w:hAnsi="Arial"/>
                <w:color w:val="1C1C2E"/>
                <w:sz w:val="18"/>
                <w:szCs w:val="18"/>
              </w:rPr>
              <w:t xml:space="preserve">Scrapes Google Maps for plumbers/HVAC contractors in Metro Vancouver. Exports new businesses to shared Google Sheet.</w:t>
            </w:r>
          </w:p>
        </w:tc>
      </w:tr>
      <w:tr>
        <w:tc>
          <w:tcPr>
            <w:tcW w:type="dxa" w:w="480"/>
            <w:tcBorders>
              <w:top w:val="single" w:color="00B4D8" w:sz="8"/>
              <w:left w:val="single" w:color="00B4D8" w:sz="8"/>
              <w:bottom w:val="single" w:color="00B4D8" w:sz="8"/>
              <w:right w:val="single" w:color="00B4D8" w:sz="8"/>
            </w:tcBorders>
            <w:shd w:fill="00B4D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2200"/>
            <w:tcBorders>
              <w:top w:val="single" w:color="00B4D8" w:sz="8"/>
              <w:left w:val="single" w:color="00B4D8" w:sz="8"/>
              <w:bottom w:val="single" w:color="00B4D8" w:sz="8"/>
              <w:right w:val="single" w:color="00B4D8" w:sz="8"/>
            </w:tcBorders>
            <w:shd w:fill="F7F8FC" w:val="clear"/>
            <w:tcMar>
              <w:top w:type="dxa" w:w="80"/>
              <w:left w:type="dxa" w:w="120"/>
              <w:bottom w:type="dxa" w:w="80"/>
              <w:right w:type="dxa" w:w="120"/>
            </w:tcMar>
          </w:tcPr>
          <w:p>
            <w:r>
              <w:rPr>
                <w:rFonts w:ascii="Arial" w:cs="Arial" w:eastAsia="Arial" w:hAnsi="Arial"/>
                <w:b/>
                <w:bCs/>
                <w:color w:val="1B4F72"/>
                <w:sz w:val="18"/>
                <w:szCs w:val="18"/>
              </w:rPr>
              <w:t xml:space="preserve">Lead Ingestion Agent (Haiku)</w:t>
            </w:r>
          </w:p>
        </w:tc>
        <w:tc>
          <w:tcPr>
            <w:tcW w:type="dxa" w:w="6680"/>
            <w:tcBorders>
              <w:top w:val="single" w:color="00B4D8" w:sz="8"/>
              <w:left w:val="single" w:color="00B4D8" w:sz="8"/>
              <w:bottom w:val="single" w:color="00B4D8" w:sz="8"/>
              <w:right w:val="single" w:color="00B4D8" w:sz="8"/>
            </w:tcBorders>
            <w:shd w:fill="F7F8FC" w:val="clear"/>
            <w:tcMar>
              <w:top w:type="dxa" w:w="80"/>
              <w:left w:type="dxa" w:w="120"/>
              <w:bottom w:type="dxa" w:w="80"/>
              <w:right w:type="dxa" w:w="120"/>
            </w:tcMar>
          </w:tcPr>
          <w:p>
            <w:r>
              <w:rPr>
                <w:rFonts w:ascii="Arial" w:cs="Arial" w:eastAsia="Arial" w:hAnsi="Arial"/>
                <w:color w:val="1C1C2E"/>
                <w:sz w:val="18"/>
                <w:szCs w:val="18"/>
              </w:rPr>
              <w:t xml:space="preserve">Reads new Sheet rows every 6 hours. Creates lead record in client's Supabase project. Sets stage = "New". Attaches client context (vertical, service area).</w:t>
            </w:r>
          </w:p>
        </w:tc>
      </w:tr>
      <w:tr>
        <w:tc>
          <w:tcPr>
            <w:tcW w:type="dxa" w:w="480"/>
            <w:tcBorders>
              <w:top w:val="single" w:color="00B4D8" w:sz="8"/>
              <w:left w:val="single" w:color="00B4D8" w:sz="8"/>
              <w:bottom w:val="single" w:color="00B4D8" w:sz="8"/>
              <w:right w:val="single" w:color="00B4D8" w:sz="8"/>
            </w:tcBorders>
            <w:shd w:fill="00B4D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w:t>
            </w:r>
          </w:p>
        </w:tc>
        <w:tc>
          <w:tcPr>
            <w:tcW w:type="dxa" w:w="2200"/>
            <w:tcBorders>
              <w:top w:val="single" w:color="00B4D8" w:sz="8"/>
              <w:left w:val="single" w:color="00B4D8" w:sz="8"/>
              <w:bottom w:val="single" w:color="00B4D8" w:sz="8"/>
              <w:right w:val="single" w:color="00B4D8" w:sz="8"/>
            </w:tcBorders>
            <w:shd w:fill="FFFFFF" w:val="clear"/>
            <w:tcMar>
              <w:top w:type="dxa" w:w="80"/>
              <w:left w:type="dxa" w:w="120"/>
              <w:bottom w:type="dxa" w:w="80"/>
              <w:right w:type="dxa" w:w="120"/>
            </w:tcMar>
          </w:tcPr>
          <w:p>
            <w:r>
              <w:rPr>
                <w:rFonts w:ascii="Arial" w:cs="Arial" w:eastAsia="Arial" w:hAnsi="Arial"/>
                <w:b/>
                <w:bCs/>
                <w:color w:val="1B4F72"/>
                <w:sz w:val="18"/>
                <w:szCs w:val="18"/>
              </w:rPr>
              <w:t xml:space="preserve">Lead Enrichment Agent (Sonnet)</w:t>
            </w:r>
          </w:p>
        </w:tc>
        <w:tc>
          <w:tcPr>
            <w:tcW w:type="dxa" w:w="6680"/>
            <w:tcBorders>
              <w:top w:val="single" w:color="00B4D8" w:sz="8"/>
              <w:left w:val="single" w:color="00B4D8" w:sz="8"/>
              <w:bottom w:val="single" w:color="00B4D8" w:sz="8"/>
              <w:right w:val="single" w:color="00B4D8" w:sz="8"/>
            </w:tcBorders>
            <w:shd w:fill="FFFFFF" w:val="clear"/>
            <w:tcMar>
              <w:top w:type="dxa" w:w="80"/>
              <w:left w:type="dxa" w:w="120"/>
              <w:bottom w:type="dxa" w:w="80"/>
              <w:right w:type="dxa" w:w="120"/>
            </w:tcMar>
          </w:tcPr>
          <w:p>
            <w:r>
              <w:rPr>
                <w:rFonts w:ascii="Arial" w:cs="Arial" w:eastAsia="Arial" w:hAnsi="Arial"/>
                <w:color w:val="1C1C2E"/>
                <w:sz w:val="18"/>
                <w:szCs w:val="18"/>
              </w:rPr>
              <w:t xml:space="preserve">Hunter.io finds/verifies email. EnrichLayer adds company size, review data, tech signals. Scores lead 0-100. Stores enrichment on Supabase lead record.</w:t>
            </w:r>
          </w:p>
        </w:tc>
      </w:tr>
      <w:tr>
        <w:tc>
          <w:tcPr>
            <w:tcW w:type="dxa" w:w="480"/>
            <w:tcBorders>
              <w:top w:val="single" w:color="00B4D8" w:sz="8"/>
              <w:left w:val="single" w:color="00B4D8" w:sz="8"/>
              <w:bottom w:val="single" w:color="00B4D8" w:sz="8"/>
              <w:right w:val="single" w:color="00B4D8" w:sz="8"/>
            </w:tcBorders>
            <w:shd w:fill="00B4D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2200"/>
            <w:tcBorders>
              <w:top w:val="single" w:color="00B4D8" w:sz="8"/>
              <w:left w:val="single" w:color="00B4D8" w:sz="8"/>
              <w:bottom w:val="single" w:color="00B4D8" w:sz="8"/>
              <w:right w:val="single" w:color="00B4D8" w:sz="8"/>
            </w:tcBorders>
            <w:shd w:fill="F7F8FC" w:val="clear"/>
            <w:tcMar>
              <w:top w:type="dxa" w:w="80"/>
              <w:left w:type="dxa" w:w="120"/>
              <w:bottom w:type="dxa" w:w="80"/>
              <w:right w:type="dxa" w:w="120"/>
            </w:tcMar>
          </w:tcPr>
          <w:p>
            <w:r>
              <w:rPr>
                <w:rFonts w:ascii="Arial" w:cs="Arial" w:eastAsia="Arial" w:hAnsi="Arial"/>
                <w:b/>
                <w:bCs/>
                <w:color w:val="1B4F72"/>
                <w:sz w:val="18"/>
                <w:szCs w:val="18"/>
              </w:rPr>
              <w:t xml:space="preserve">Signal Detection Agent (Haiku)</w:t>
            </w:r>
          </w:p>
        </w:tc>
        <w:tc>
          <w:tcPr>
            <w:tcW w:type="dxa" w:w="6680"/>
            <w:tcBorders>
              <w:top w:val="single" w:color="00B4D8" w:sz="8"/>
              <w:left w:val="single" w:color="00B4D8" w:sz="8"/>
              <w:bottom w:val="single" w:color="00B4D8" w:sz="8"/>
              <w:right w:val="single" w:color="00B4D8" w:sz="8"/>
            </w:tcBorders>
            <w:shd w:fill="F7F8FC" w:val="clear"/>
            <w:tcMar>
              <w:top w:type="dxa" w:w="80"/>
              <w:left w:type="dxa" w:w="120"/>
              <w:bottom w:type="dxa" w:w="80"/>
              <w:right w:type="dxa" w:w="120"/>
            </w:tcMar>
          </w:tcPr>
          <w:p>
            <w:r>
              <w:rPr>
                <w:rFonts w:ascii="Arial" w:cs="Arial" w:eastAsia="Arial" w:hAnsi="Arial"/>
                <w:color w:val="1C1C2E"/>
                <w:sz w:val="18"/>
                <w:szCs w:val="18"/>
              </w:rPr>
              <w:t xml:space="preserve">Analyses enriched lead for buying signals (bad reviews, hiring signals, new location). Returns outreach_angle JSON stored on lead.</w:t>
            </w:r>
          </w:p>
        </w:tc>
      </w:tr>
      <w:tr>
        <w:tc>
          <w:tcPr>
            <w:tcW w:type="dxa" w:w="480"/>
            <w:tcBorders>
              <w:top w:val="single" w:color="00B4D8" w:sz="8"/>
              <w:left w:val="single" w:color="00B4D8" w:sz="8"/>
              <w:bottom w:val="single" w:color="00B4D8" w:sz="8"/>
              <w:right w:val="single" w:color="00B4D8" w:sz="8"/>
            </w:tcBorders>
            <w:shd w:fill="00B4D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w:t>
            </w:r>
          </w:p>
        </w:tc>
        <w:tc>
          <w:tcPr>
            <w:tcW w:type="dxa" w:w="2200"/>
            <w:tcBorders>
              <w:top w:val="single" w:color="00B4D8" w:sz="8"/>
              <w:left w:val="single" w:color="00B4D8" w:sz="8"/>
              <w:bottom w:val="single" w:color="00B4D8" w:sz="8"/>
              <w:right w:val="single" w:color="00B4D8" w:sz="8"/>
            </w:tcBorders>
            <w:shd w:fill="FFFFFF" w:val="clear"/>
            <w:tcMar>
              <w:top w:type="dxa" w:w="80"/>
              <w:left w:type="dxa" w:w="120"/>
              <w:bottom w:type="dxa" w:w="80"/>
              <w:right w:type="dxa" w:w="120"/>
            </w:tcMar>
          </w:tcPr>
          <w:p>
            <w:r>
              <w:rPr>
                <w:rFonts w:ascii="Arial" w:cs="Arial" w:eastAsia="Arial" w:hAnsi="Arial"/>
                <w:b/>
                <w:bCs/>
                <w:color w:val="1B4F72"/>
                <w:sz w:val="18"/>
                <w:szCs w:val="18"/>
              </w:rPr>
              <w:t xml:space="preserve">CASL Guard (Haiku)</w:t>
            </w:r>
          </w:p>
        </w:tc>
        <w:tc>
          <w:tcPr>
            <w:tcW w:type="dxa" w:w="6680"/>
            <w:tcBorders>
              <w:top w:val="single" w:color="00B4D8" w:sz="8"/>
              <w:left w:val="single" w:color="00B4D8" w:sz="8"/>
              <w:bottom w:val="single" w:color="00B4D8" w:sz="8"/>
              <w:right w:val="single" w:color="00B4D8" w:sz="8"/>
            </w:tcBorders>
            <w:shd w:fill="FFFFFF" w:val="clear"/>
            <w:tcMar>
              <w:top w:type="dxa" w:w="80"/>
              <w:left w:type="dxa" w:w="120"/>
              <w:bottom w:type="dxa" w:w="80"/>
              <w:right w:type="dxa" w:w="120"/>
            </w:tcMar>
          </w:tcPr>
          <w:p>
            <w:r>
              <w:rPr>
                <w:rFonts w:ascii="Arial" w:cs="Arial" w:eastAsia="Arial" w:hAnsi="Arial"/>
                <w:color w:val="1C1C2E"/>
                <w:sz w:val="18"/>
                <w:szCs w:val="18"/>
              </w:rPr>
              <w:t xml:space="preserve">Verifies no prior opt-out. Checks consent requirements. BLOCKS if non-compliant. PASSES lead to SMS queue.</w:t>
            </w:r>
          </w:p>
        </w:tc>
      </w:tr>
      <w:tr>
        <w:tc>
          <w:tcPr>
            <w:tcW w:type="dxa" w:w="480"/>
            <w:tcBorders>
              <w:top w:val="single" w:color="00B4D8" w:sz="8"/>
              <w:left w:val="single" w:color="00B4D8" w:sz="8"/>
              <w:bottom w:val="single" w:color="00B4D8" w:sz="8"/>
              <w:right w:val="single" w:color="00B4D8" w:sz="8"/>
            </w:tcBorders>
            <w:shd w:fill="00B4D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w:t>
            </w:r>
          </w:p>
        </w:tc>
        <w:tc>
          <w:tcPr>
            <w:tcW w:type="dxa" w:w="2200"/>
            <w:tcBorders>
              <w:top w:val="single" w:color="00B4D8" w:sz="8"/>
              <w:left w:val="single" w:color="00B4D8" w:sz="8"/>
              <w:bottom w:val="single" w:color="00B4D8" w:sz="8"/>
              <w:right w:val="single" w:color="00B4D8" w:sz="8"/>
            </w:tcBorders>
            <w:shd w:fill="F7F8FC" w:val="clear"/>
            <w:tcMar>
              <w:top w:type="dxa" w:w="80"/>
              <w:left w:type="dxa" w:w="120"/>
              <w:bottom w:type="dxa" w:w="80"/>
              <w:right w:type="dxa" w:w="120"/>
            </w:tcMar>
          </w:tcPr>
          <w:p>
            <w:r>
              <w:rPr>
                <w:rFonts w:ascii="Arial" w:cs="Arial" w:eastAsia="Arial" w:hAnsi="Arial"/>
                <w:b/>
                <w:bCs/>
                <w:color w:val="1B4F72"/>
                <w:sz w:val="18"/>
                <w:szCs w:val="18"/>
              </w:rPr>
              <w:t xml:space="preserve">SMS Opener Agent (Sonnet)</w:t>
            </w:r>
          </w:p>
        </w:tc>
        <w:tc>
          <w:tcPr>
            <w:tcW w:type="dxa" w:w="6680"/>
            <w:tcBorders>
              <w:top w:val="single" w:color="00B4D8" w:sz="8"/>
              <w:left w:val="single" w:color="00B4D8" w:sz="8"/>
              <w:bottom w:val="single" w:color="00B4D8" w:sz="8"/>
              <w:right w:val="single" w:color="00B4D8" w:sz="8"/>
            </w:tcBorders>
            <w:shd w:fill="F7F8FC" w:val="clear"/>
            <w:tcMar>
              <w:top w:type="dxa" w:w="80"/>
              <w:left w:type="dxa" w:w="120"/>
              <w:bottom w:type="dxa" w:w="80"/>
              <w:right w:type="dxa" w:w="120"/>
            </w:tcMar>
          </w:tcPr>
          <w:p>
            <w:r>
              <w:rPr>
                <w:rFonts w:ascii="Arial" w:cs="Arial" w:eastAsia="Arial" w:hAnsi="Arial"/>
                <w:color w:val="1C1C2E"/>
                <w:sz w:val="18"/>
                <w:szCs w:val="18"/>
              </w:rPr>
              <w:t xml:space="preserve">Drafts personalised opening SMS referencing the signal. Max 160 chars. References specific pain point. Includes client business name. Sends via Twilio.</w:t>
            </w:r>
          </w:p>
        </w:tc>
      </w:tr>
      <w:tr>
        <w:tc>
          <w:tcPr>
            <w:tcW w:type="dxa" w:w="480"/>
            <w:tcBorders>
              <w:top w:val="single" w:color="00B4D8" w:sz="8"/>
              <w:left w:val="single" w:color="00B4D8" w:sz="8"/>
              <w:bottom w:val="single" w:color="00B4D8" w:sz="8"/>
              <w:right w:val="single" w:color="00B4D8" w:sz="8"/>
            </w:tcBorders>
            <w:shd w:fill="00B4D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7</w:t>
            </w:r>
          </w:p>
        </w:tc>
        <w:tc>
          <w:tcPr>
            <w:tcW w:type="dxa" w:w="2200"/>
            <w:tcBorders>
              <w:top w:val="single" w:color="00B4D8" w:sz="8"/>
              <w:left w:val="single" w:color="00B4D8" w:sz="8"/>
              <w:bottom w:val="single" w:color="00B4D8" w:sz="8"/>
              <w:right w:val="single" w:color="00B4D8" w:sz="8"/>
            </w:tcBorders>
            <w:shd w:fill="FFFFFF" w:val="clear"/>
            <w:tcMar>
              <w:top w:type="dxa" w:w="80"/>
              <w:left w:type="dxa" w:w="120"/>
              <w:bottom w:type="dxa" w:w="80"/>
              <w:right w:type="dxa" w:w="120"/>
            </w:tcMar>
          </w:tcPr>
          <w:p>
            <w:r>
              <w:rPr>
                <w:rFonts w:ascii="Arial" w:cs="Arial" w:eastAsia="Arial" w:hAnsi="Arial"/>
                <w:b/>
                <w:bCs/>
                <w:color w:val="1B4F72"/>
                <w:sz w:val="18"/>
                <w:szCs w:val="18"/>
              </w:rPr>
              <w:t xml:space="preserve">SMS QC Reviewer (Sonnet)</w:t>
            </w:r>
          </w:p>
        </w:tc>
        <w:tc>
          <w:tcPr>
            <w:tcW w:type="dxa" w:w="6680"/>
            <w:tcBorders>
              <w:top w:val="single" w:color="00B4D8" w:sz="8"/>
              <w:left w:val="single" w:color="00B4D8" w:sz="8"/>
              <w:bottom w:val="single" w:color="00B4D8" w:sz="8"/>
              <w:right w:val="single" w:color="00B4D8" w:sz="8"/>
            </w:tcBorders>
            <w:shd w:fill="FFFFFF" w:val="clear"/>
            <w:tcMar>
              <w:top w:type="dxa" w:w="80"/>
              <w:left w:type="dxa" w:w="120"/>
              <w:bottom w:type="dxa" w:w="80"/>
              <w:right w:type="dxa" w:w="120"/>
            </w:tcMar>
          </w:tcPr>
          <w:p>
            <w:r>
              <w:rPr>
                <w:rFonts w:ascii="Arial" w:cs="Arial" w:eastAsia="Arial" w:hAnsi="Arial"/>
                <w:color w:val="1C1C2E"/>
                <w:sz w:val="18"/>
                <w:szCs w:val="18"/>
              </w:rPr>
              <w:t xml:space="preserve">Reviews draft for tone, CASL footer, CTA clarity. PASS → SMS sends. REVISE → returns to Opener with specific fixes.</w:t>
            </w:r>
          </w:p>
        </w:tc>
      </w:tr>
      <w:tr>
        <w:tc>
          <w:tcPr>
            <w:tcW w:type="dxa" w:w="480"/>
            <w:tcBorders>
              <w:top w:val="single" w:color="00B4D8" w:sz="8"/>
              <w:left w:val="single" w:color="00B4D8" w:sz="8"/>
              <w:bottom w:val="single" w:color="00B4D8" w:sz="8"/>
              <w:right w:val="single" w:color="00B4D8" w:sz="8"/>
            </w:tcBorders>
            <w:shd w:fill="00B4D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8</w:t>
            </w:r>
          </w:p>
        </w:tc>
        <w:tc>
          <w:tcPr>
            <w:tcW w:type="dxa" w:w="2200"/>
            <w:tcBorders>
              <w:top w:val="single" w:color="00B4D8" w:sz="8"/>
              <w:left w:val="single" w:color="00B4D8" w:sz="8"/>
              <w:bottom w:val="single" w:color="00B4D8" w:sz="8"/>
              <w:right w:val="single" w:color="00B4D8" w:sz="8"/>
            </w:tcBorders>
            <w:shd w:fill="F7F8FC" w:val="clear"/>
            <w:tcMar>
              <w:top w:type="dxa" w:w="80"/>
              <w:left w:type="dxa" w:w="120"/>
              <w:bottom w:type="dxa" w:w="80"/>
              <w:right w:type="dxa" w:w="120"/>
            </w:tcMar>
          </w:tcPr>
          <w:p>
            <w:r>
              <w:rPr>
                <w:rFonts w:ascii="Arial" w:cs="Arial" w:eastAsia="Arial" w:hAnsi="Arial"/>
                <w:b/>
                <w:bCs/>
                <w:color w:val="1B4F72"/>
                <w:sz w:val="18"/>
                <w:szCs w:val="18"/>
              </w:rPr>
              <w:t xml:space="preserve">Lead receives SMS</w:t>
            </w:r>
          </w:p>
        </w:tc>
        <w:tc>
          <w:tcPr>
            <w:tcW w:type="dxa" w:w="6680"/>
            <w:tcBorders>
              <w:top w:val="single" w:color="00B4D8" w:sz="8"/>
              <w:left w:val="single" w:color="00B4D8" w:sz="8"/>
              <w:bottom w:val="single" w:color="00B4D8" w:sz="8"/>
              <w:right w:val="single" w:color="00B4D8" w:sz="8"/>
            </w:tcBorders>
            <w:shd w:fill="F7F8FC" w:val="clear"/>
            <w:tcMar>
              <w:top w:type="dxa" w:w="80"/>
              <w:left w:type="dxa" w:w="120"/>
              <w:bottom w:type="dxa" w:w="80"/>
              <w:right w:type="dxa" w:w="120"/>
            </w:tcMar>
          </w:tcPr>
          <w:p>
            <w:r>
              <w:rPr>
                <w:rFonts w:ascii="Arial" w:cs="Arial" w:eastAsia="Arial" w:hAnsi="Arial"/>
                <w:color w:val="1C1C2E"/>
                <w:sz w:val="18"/>
                <w:szCs w:val="18"/>
              </w:rPr>
              <w:t xml:space="preserve">Twilio delivers SMS from client's dedicated number. Lead replies (or doesn't).</w:t>
            </w:r>
          </w:p>
        </w:tc>
      </w:tr>
      <w:tr>
        <w:tc>
          <w:tcPr>
            <w:tcW w:type="dxa" w:w="480"/>
            <w:tcBorders>
              <w:top w:val="single" w:color="00B4D8" w:sz="8"/>
              <w:left w:val="single" w:color="00B4D8" w:sz="8"/>
              <w:bottom w:val="single" w:color="00B4D8" w:sz="8"/>
              <w:right w:val="single" w:color="00B4D8" w:sz="8"/>
            </w:tcBorders>
            <w:shd w:fill="00B4D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9</w:t>
            </w:r>
          </w:p>
        </w:tc>
        <w:tc>
          <w:tcPr>
            <w:tcW w:type="dxa" w:w="2200"/>
            <w:tcBorders>
              <w:top w:val="single" w:color="00B4D8" w:sz="8"/>
              <w:left w:val="single" w:color="00B4D8" w:sz="8"/>
              <w:bottom w:val="single" w:color="00B4D8" w:sz="8"/>
              <w:right w:val="single" w:color="00B4D8" w:sz="8"/>
            </w:tcBorders>
            <w:shd w:fill="FFFFFF" w:val="clear"/>
            <w:tcMar>
              <w:top w:type="dxa" w:w="80"/>
              <w:left w:type="dxa" w:w="120"/>
              <w:bottom w:type="dxa" w:w="80"/>
              <w:right w:type="dxa" w:w="120"/>
            </w:tcMar>
          </w:tcPr>
          <w:p>
            <w:r>
              <w:rPr>
                <w:rFonts w:ascii="Arial" w:cs="Arial" w:eastAsia="Arial" w:hAnsi="Arial"/>
                <w:b/>
                <w:bCs/>
                <w:color w:val="1B4F72"/>
                <w:sz w:val="18"/>
                <w:szCs w:val="18"/>
              </w:rPr>
              <w:t xml:space="preserve">SMS Classifier Agent (Sonnet)</w:t>
            </w:r>
          </w:p>
        </w:tc>
        <w:tc>
          <w:tcPr>
            <w:tcW w:type="dxa" w:w="6680"/>
            <w:tcBorders>
              <w:top w:val="single" w:color="00B4D8" w:sz="8"/>
              <w:left w:val="single" w:color="00B4D8" w:sz="8"/>
              <w:bottom w:val="single" w:color="00B4D8" w:sz="8"/>
              <w:right w:val="single" w:color="00B4D8" w:sz="8"/>
            </w:tcBorders>
            <w:shd w:fill="FFFFFF" w:val="clear"/>
            <w:tcMar>
              <w:top w:type="dxa" w:w="80"/>
              <w:left w:type="dxa" w:w="120"/>
              <w:bottom w:type="dxa" w:w="80"/>
              <w:right w:type="dxa" w:w="120"/>
            </w:tcMar>
          </w:tcPr>
          <w:p>
            <w:r>
              <w:rPr>
                <w:rFonts w:ascii="Arial" w:cs="Arial" w:eastAsia="Arial" w:hAnsi="Arial"/>
                <w:color w:val="1C1C2E"/>
                <w:sz w:val="18"/>
                <w:szCs w:val="18"/>
              </w:rPr>
              <w:t xml:space="preserve">Twilio inbound webhook triggers classifier. Classifies reply: POSITIVE / QUESTION / TIMING / OPT_OUT / UNKNOWN.</w:t>
            </w:r>
          </w:p>
        </w:tc>
      </w:tr>
      <w:tr>
        <w:tc>
          <w:tcPr>
            <w:tcW w:type="dxa" w:w="480"/>
            <w:tcBorders>
              <w:top w:val="single" w:color="00B4D8" w:sz="8"/>
              <w:left w:val="single" w:color="00B4D8" w:sz="8"/>
              <w:bottom w:val="single" w:color="00B4D8" w:sz="8"/>
              <w:right w:val="single" w:color="00B4D8" w:sz="8"/>
            </w:tcBorders>
            <w:shd w:fill="00B4D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w:t>
            </w:r>
          </w:p>
        </w:tc>
        <w:tc>
          <w:tcPr>
            <w:tcW w:type="dxa" w:w="2200"/>
            <w:tcBorders>
              <w:top w:val="single" w:color="00B4D8" w:sz="8"/>
              <w:left w:val="single" w:color="00B4D8" w:sz="8"/>
              <w:bottom w:val="single" w:color="00B4D8" w:sz="8"/>
              <w:right w:val="single" w:color="00B4D8" w:sz="8"/>
            </w:tcBorders>
            <w:shd w:fill="F7F8FC" w:val="clear"/>
            <w:tcMar>
              <w:top w:type="dxa" w:w="80"/>
              <w:left w:type="dxa" w:w="120"/>
              <w:bottom w:type="dxa" w:w="80"/>
              <w:right w:type="dxa" w:w="120"/>
            </w:tcMar>
          </w:tcPr>
          <w:p>
            <w:r>
              <w:rPr>
                <w:rFonts w:ascii="Arial" w:cs="Arial" w:eastAsia="Arial" w:hAnsi="Arial"/>
                <w:b/>
                <w:bCs/>
                <w:color w:val="1B4F72"/>
                <w:sz w:val="18"/>
                <w:szCs w:val="18"/>
              </w:rPr>
              <w:t xml:space="preserve">SMS Responder Agent (Sonnet)</w:t>
            </w:r>
          </w:p>
        </w:tc>
        <w:tc>
          <w:tcPr>
            <w:tcW w:type="dxa" w:w="6680"/>
            <w:tcBorders>
              <w:top w:val="single" w:color="00B4D8" w:sz="8"/>
              <w:left w:val="single" w:color="00B4D8" w:sz="8"/>
              <w:bottom w:val="single" w:color="00B4D8" w:sz="8"/>
              <w:right w:val="single" w:color="00B4D8" w:sz="8"/>
            </w:tcBorders>
            <w:shd w:fill="F7F8FC" w:val="clear"/>
            <w:tcMar>
              <w:top w:type="dxa" w:w="80"/>
              <w:left w:type="dxa" w:w="120"/>
              <w:bottom w:type="dxa" w:w="80"/>
              <w:right w:type="dxa" w:w="120"/>
            </w:tcMar>
          </w:tcPr>
          <w:p>
            <w:r>
              <w:rPr>
                <w:rFonts w:ascii="Arial" w:cs="Arial" w:eastAsia="Arial" w:hAnsi="Arial"/>
                <w:color w:val="1C1C2E"/>
                <w:sz w:val="18"/>
                <w:szCs w:val="18"/>
              </w:rPr>
              <w:t xml:space="preserve">If POSITIVE: replies with value statement + Cal.com booking link. If QUESTION: answers specifically + soft CTA. If TIMING: logs for 30-day follow-up.</w:t>
            </w:r>
          </w:p>
        </w:tc>
      </w:tr>
      <w:tr>
        <w:tc>
          <w:tcPr>
            <w:tcW w:type="dxa" w:w="480"/>
            <w:tcBorders>
              <w:top w:val="single" w:color="00B4D8" w:sz="8"/>
              <w:left w:val="single" w:color="00B4D8" w:sz="8"/>
              <w:bottom w:val="single" w:color="00B4D8" w:sz="8"/>
              <w:right w:val="single" w:color="00B4D8" w:sz="8"/>
            </w:tcBorders>
            <w:shd w:fill="00B4D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11</w:t>
            </w:r>
          </w:p>
        </w:tc>
        <w:tc>
          <w:tcPr>
            <w:tcW w:type="dxa" w:w="2200"/>
            <w:tcBorders>
              <w:top w:val="single" w:color="00B4D8" w:sz="8"/>
              <w:left w:val="single" w:color="00B4D8" w:sz="8"/>
              <w:bottom w:val="single" w:color="00B4D8" w:sz="8"/>
              <w:right w:val="single" w:color="00B4D8" w:sz="8"/>
            </w:tcBorders>
            <w:shd w:fill="FFFFFF" w:val="clear"/>
            <w:tcMar>
              <w:top w:type="dxa" w:w="80"/>
              <w:left w:type="dxa" w:w="120"/>
              <w:bottom w:type="dxa" w:w="80"/>
              <w:right w:type="dxa" w:w="120"/>
            </w:tcMar>
          </w:tcPr>
          <w:p>
            <w:r>
              <w:rPr>
                <w:rFonts w:ascii="Arial" w:cs="Arial" w:eastAsia="Arial" w:hAnsi="Arial"/>
                <w:b/>
                <w:bCs/>
                <w:color w:val="1B4F72"/>
                <w:sz w:val="18"/>
                <w:szCs w:val="18"/>
              </w:rPr>
              <w:t xml:space="preserve">Cal.com booking</w:t>
            </w:r>
          </w:p>
        </w:tc>
        <w:tc>
          <w:tcPr>
            <w:tcW w:type="dxa" w:w="6680"/>
            <w:tcBorders>
              <w:top w:val="single" w:color="00B4D8" w:sz="8"/>
              <w:left w:val="single" w:color="00B4D8" w:sz="8"/>
              <w:bottom w:val="single" w:color="00B4D8" w:sz="8"/>
              <w:right w:val="single" w:color="00B4D8" w:sz="8"/>
            </w:tcBorders>
            <w:shd w:fill="FFFFFF" w:val="clear"/>
            <w:tcMar>
              <w:top w:type="dxa" w:w="80"/>
              <w:left w:type="dxa" w:w="120"/>
              <w:bottom w:type="dxa" w:w="80"/>
              <w:right w:type="dxa" w:w="120"/>
            </w:tcMar>
          </w:tcPr>
          <w:p>
            <w:r>
              <w:rPr>
                <w:rFonts w:ascii="Arial" w:cs="Arial" w:eastAsia="Arial" w:hAnsi="Arial"/>
                <w:color w:val="1C1C2E"/>
                <w:sz w:val="18"/>
                <w:szCs w:val="18"/>
              </w:rPr>
              <w:t xml:space="preserve">Lead clicks link, books appointment on client's Cal.com page. Webhook fires on confirmation.</w:t>
            </w:r>
          </w:p>
        </w:tc>
      </w:tr>
      <w:tr>
        <w:tc>
          <w:tcPr>
            <w:tcW w:type="dxa" w:w="480"/>
            <w:tcBorders>
              <w:top w:val="single" w:color="00B4D8" w:sz="8"/>
              <w:left w:val="single" w:color="00B4D8" w:sz="8"/>
              <w:bottom w:val="single" w:color="00B4D8" w:sz="8"/>
              <w:right w:val="single" w:color="00B4D8" w:sz="8"/>
            </w:tcBorders>
            <w:shd w:fill="00B4D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12</w:t>
            </w:r>
          </w:p>
        </w:tc>
        <w:tc>
          <w:tcPr>
            <w:tcW w:type="dxa" w:w="2200"/>
            <w:tcBorders>
              <w:top w:val="single" w:color="00B4D8" w:sz="8"/>
              <w:left w:val="single" w:color="00B4D8" w:sz="8"/>
              <w:bottom w:val="single" w:color="00B4D8" w:sz="8"/>
              <w:right w:val="single" w:color="00B4D8" w:sz="8"/>
            </w:tcBorders>
            <w:shd w:fill="F7F8FC" w:val="clear"/>
            <w:tcMar>
              <w:top w:type="dxa" w:w="80"/>
              <w:left w:type="dxa" w:w="120"/>
              <w:bottom w:type="dxa" w:w="80"/>
              <w:right w:type="dxa" w:w="120"/>
            </w:tcMar>
          </w:tcPr>
          <w:p>
            <w:r>
              <w:rPr>
                <w:rFonts w:ascii="Arial" w:cs="Arial" w:eastAsia="Arial" w:hAnsi="Arial"/>
                <w:b/>
                <w:bCs/>
                <w:color w:val="1B4F72"/>
                <w:sz w:val="18"/>
                <w:szCs w:val="18"/>
              </w:rPr>
              <w:t xml:space="preserve">Stage Update Agent (Haiku)</w:t>
            </w:r>
          </w:p>
        </w:tc>
        <w:tc>
          <w:tcPr>
            <w:tcW w:type="dxa" w:w="6680"/>
            <w:tcBorders>
              <w:top w:val="single" w:color="00B4D8" w:sz="8"/>
              <w:left w:val="single" w:color="00B4D8" w:sz="8"/>
              <w:bottom w:val="single" w:color="00B4D8" w:sz="8"/>
              <w:right w:val="single" w:color="00B4D8" w:sz="8"/>
            </w:tcBorders>
            <w:shd w:fill="F7F8FC" w:val="clear"/>
            <w:tcMar>
              <w:top w:type="dxa" w:w="80"/>
              <w:left w:type="dxa" w:w="120"/>
              <w:bottom w:type="dxa" w:w="80"/>
              <w:right w:type="dxa" w:w="120"/>
            </w:tcMar>
          </w:tcPr>
          <w:p>
            <w:r>
              <w:rPr>
                <w:rFonts w:ascii="Arial" w:cs="Arial" w:eastAsia="Arial" w:hAnsi="Arial"/>
                <w:color w:val="1C1C2E"/>
                <w:sz w:val="18"/>
                <w:szCs w:val="18"/>
              </w:rPr>
              <w:t xml:space="preserve">Receives Cal.com webhook. Updates lead stage to "Appointment Booked" in Supabase. Logs activity.</w:t>
            </w:r>
          </w:p>
        </w:tc>
      </w:tr>
      <w:tr>
        <w:tc>
          <w:tcPr>
            <w:tcW w:type="dxa" w:w="480"/>
            <w:tcBorders>
              <w:top w:val="single" w:color="00B4D8" w:sz="8"/>
              <w:left w:val="single" w:color="00B4D8" w:sz="8"/>
              <w:bottom w:val="single" w:color="00B4D8" w:sz="8"/>
              <w:right w:val="single" w:color="00B4D8" w:sz="8"/>
            </w:tcBorders>
            <w:shd w:fill="00B4D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13</w:t>
            </w:r>
          </w:p>
        </w:tc>
        <w:tc>
          <w:tcPr>
            <w:tcW w:type="dxa" w:w="2200"/>
            <w:tcBorders>
              <w:top w:val="single" w:color="00B4D8" w:sz="8"/>
              <w:left w:val="single" w:color="00B4D8" w:sz="8"/>
              <w:bottom w:val="single" w:color="00B4D8" w:sz="8"/>
              <w:right w:val="single" w:color="00B4D8" w:sz="8"/>
            </w:tcBorders>
            <w:shd w:fill="FFFFFF" w:val="clear"/>
            <w:tcMar>
              <w:top w:type="dxa" w:w="80"/>
              <w:left w:type="dxa" w:w="120"/>
              <w:bottom w:type="dxa" w:w="80"/>
              <w:right w:type="dxa" w:w="120"/>
            </w:tcMar>
          </w:tcPr>
          <w:p>
            <w:r>
              <w:rPr>
                <w:rFonts w:ascii="Arial" w:cs="Arial" w:eastAsia="Arial" w:hAnsi="Arial"/>
                <w:b/>
                <w:bCs/>
                <w:color w:val="1B4F72"/>
                <w:sz w:val="18"/>
                <w:szCs w:val="18"/>
              </w:rPr>
              <w:t xml:space="preserve">Appointment Notifier (Haiku)</w:t>
            </w:r>
          </w:p>
        </w:tc>
        <w:tc>
          <w:tcPr>
            <w:tcW w:type="dxa" w:w="6680"/>
            <w:tcBorders>
              <w:top w:val="single" w:color="00B4D8" w:sz="8"/>
              <w:left w:val="single" w:color="00B4D8" w:sz="8"/>
              <w:bottom w:val="single" w:color="00B4D8" w:sz="8"/>
              <w:right w:val="single" w:color="00B4D8" w:sz="8"/>
            </w:tcBorders>
            <w:shd w:fill="FFFFFF" w:val="clear"/>
            <w:tcMar>
              <w:top w:type="dxa" w:w="80"/>
              <w:left w:type="dxa" w:w="120"/>
              <w:bottom w:type="dxa" w:w="80"/>
              <w:right w:type="dxa" w:w="120"/>
            </w:tcMar>
          </w:tcPr>
          <w:p>
            <w:r>
              <w:rPr>
                <w:rFonts w:ascii="Arial" w:cs="Arial" w:eastAsia="Arial" w:hAnsi="Arial"/>
                <w:color w:val="1C1C2E"/>
                <w:sz w:val="18"/>
                <w:szCs w:val="18"/>
              </w:rPr>
              <w:t xml:space="preserve">SMS confirmation to lead. Slack alert to client with lead name, business, and appointment time.</w:t>
            </w:r>
          </w:p>
        </w:tc>
      </w:tr>
    </w:tbl>
    <w:p>
      <w:pPr>
        <w:spacing w:after="160"/>
      </w:pPr>
      <w:r>
        <w:t xml:space="preserve"/>
      </w:r>
    </w:p>
    <w:p>
      <w:pPr>
        <w:pStyle w:val="Heading2"/>
        <w:pBdr>
          <w:bottom w:val="single" w:color="00B4D8" w:sz="6" w:space="1"/>
        </w:pBdr>
        <w:spacing w:after="160" w:before="360"/>
      </w:pPr>
      <w:r>
        <w:rPr>
          <w:rFonts w:ascii="Arial" w:cs="Arial" w:eastAsia="Arial" w:hAnsi="Arial"/>
          <w:b/>
          <w:bCs/>
          <w:color w:val="1B4F72"/>
          <w:sz w:val="26"/>
          <w:szCs w:val="26"/>
        </w:rPr>
        <w:t xml:space="preserve">6.2 No-Reply Follow-Up Path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6680"/>
      </w:tblGrid>
      <w:tr>
        <w:tc>
          <w:tcPr>
            <w:tcW w:type="dxa" w:w="480"/>
            <w:tcBorders>
              <w:top w:val="single" w:color="5E35B1" w:sz="8"/>
              <w:left w:val="single" w:color="5E35B1" w:sz="8"/>
              <w:bottom w:val="single" w:color="5E35B1" w:sz="8"/>
              <w:right w:val="single" w:color="5E35B1" w:sz="8"/>
            </w:tcBorders>
            <w:shd w:fill="5E35B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w:t>
            </w:r>
          </w:p>
        </w:tc>
        <w:tc>
          <w:tcPr>
            <w:tcW w:type="dxa" w:w="2200"/>
            <w:tcBorders>
              <w:top w:val="single" w:color="5E35B1" w:sz="8"/>
              <w:left w:val="single" w:color="5E35B1" w:sz="8"/>
              <w:bottom w:val="single" w:color="5E35B1" w:sz="8"/>
              <w:right w:val="single" w:color="5E35B1" w:sz="8"/>
            </w:tcBorders>
            <w:shd w:fill="FFFFFF" w:val="clear"/>
            <w:tcMar>
              <w:top w:type="dxa" w:w="80"/>
              <w:left w:type="dxa" w:w="120"/>
              <w:bottom w:type="dxa" w:w="80"/>
              <w:right w:type="dxa" w:w="120"/>
            </w:tcMar>
          </w:tcPr>
          <w:p>
            <w:r>
              <w:rPr>
                <w:rFonts w:ascii="Arial" w:cs="Arial" w:eastAsia="Arial" w:hAnsi="Arial"/>
                <w:b/>
                <w:bCs/>
                <w:color w:val="1B4F72"/>
                <w:sz w:val="18"/>
                <w:szCs w:val="18"/>
              </w:rPr>
              <w:t xml:space="preserve">48h Cron Trigger</w:t>
            </w:r>
          </w:p>
        </w:tc>
        <w:tc>
          <w:tcPr>
            <w:tcW w:type="dxa" w:w="6680"/>
            <w:tcBorders>
              <w:top w:val="single" w:color="5E35B1" w:sz="8"/>
              <w:left w:val="single" w:color="5E35B1" w:sz="8"/>
              <w:bottom w:val="single" w:color="5E35B1" w:sz="8"/>
              <w:right w:val="single" w:color="5E35B1" w:sz="8"/>
            </w:tcBorders>
            <w:shd w:fill="FFFFFF" w:val="clear"/>
            <w:tcMar>
              <w:top w:type="dxa" w:w="80"/>
              <w:left w:type="dxa" w:w="120"/>
              <w:bottom w:type="dxa" w:w="80"/>
              <w:right w:type="dxa" w:w="120"/>
            </w:tcMar>
          </w:tcPr>
          <w:p>
            <w:r>
              <w:rPr>
                <w:rFonts w:ascii="Arial" w:cs="Arial" w:eastAsia="Arial" w:hAnsi="Arial"/>
                <w:color w:val="1C1C2E"/>
                <w:sz w:val="18"/>
                <w:szCs w:val="18"/>
              </w:rPr>
              <w:t xml:space="preserve">HEARTBEAT fires — checks all leads in "Contacted" stage with no inbound SMS in 48 hours.</w:t>
            </w:r>
          </w:p>
        </w:tc>
      </w:tr>
      <w:tr>
        <w:tc>
          <w:tcPr>
            <w:tcW w:type="dxa" w:w="480"/>
            <w:tcBorders>
              <w:top w:val="single" w:color="5E35B1" w:sz="8"/>
              <w:left w:val="single" w:color="5E35B1" w:sz="8"/>
              <w:bottom w:val="single" w:color="5E35B1" w:sz="8"/>
              <w:right w:val="single" w:color="5E35B1" w:sz="8"/>
            </w:tcBorders>
            <w:shd w:fill="5E35B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2200"/>
            <w:tcBorders>
              <w:top w:val="single" w:color="5E35B1" w:sz="8"/>
              <w:left w:val="single" w:color="5E35B1" w:sz="8"/>
              <w:bottom w:val="single" w:color="5E35B1" w:sz="8"/>
              <w:right w:val="single" w:color="5E35B1" w:sz="8"/>
            </w:tcBorders>
            <w:shd w:fill="F7F8FC" w:val="clear"/>
            <w:tcMar>
              <w:top w:type="dxa" w:w="80"/>
              <w:left w:type="dxa" w:w="120"/>
              <w:bottom w:type="dxa" w:w="80"/>
              <w:right w:type="dxa" w:w="120"/>
            </w:tcMar>
          </w:tcPr>
          <w:p>
            <w:r>
              <w:rPr>
                <w:rFonts w:ascii="Arial" w:cs="Arial" w:eastAsia="Arial" w:hAnsi="Arial"/>
                <w:b/>
                <w:bCs/>
                <w:color w:val="1B4F72"/>
                <w:sz w:val="18"/>
                <w:szCs w:val="18"/>
              </w:rPr>
              <w:t xml:space="preserve">SMS Follow-Up Agent (Haiku)</w:t>
            </w:r>
          </w:p>
        </w:tc>
        <w:tc>
          <w:tcPr>
            <w:tcW w:type="dxa" w:w="6680"/>
            <w:tcBorders>
              <w:top w:val="single" w:color="5E35B1" w:sz="8"/>
              <w:left w:val="single" w:color="5E35B1" w:sz="8"/>
              <w:bottom w:val="single" w:color="5E35B1" w:sz="8"/>
              <w:right w:val="single" w:color="5E35B1" w:sz="8"/>
            </w:tcBorders>
            <w:shd w:fill="F7F8FC" w:val="clear"/>
            <w:tcMar>
              <w:top w:type="dxa" w:w="80"/>
              <w:left w:type="dxa" w:w="120"/>
              <w:bottom w:type="dxa" w:w="80"/>
              <w:right w:type="dxa" w:w="120"/>
            </w:tcMar>
          </w:tcPr>
          <w:p>
            <w:r>
              <w:rPr>
                <w:rFonts w:ascii="Arial" w:cs="Arial" w:eastAsia="Arial" w:hAnsi="Arial"/>
                <w:color w:val="1C1C2E"/>
                <w:sz w:val="18"/>
                <w:szCs w:val="18"/>
              </w:rPr>
              <w:t xml:space="preserve">Generates new-angle follow-up. Different hook from opener (case study result, seasonal angle, or competitor reference). Max 160 chars.</w:t>
            </w:r>
          </w:p>
        </w:tc>
      </w:tr>
      <w:tr>
        <w:tc>
          <w:tcPr>
            <w:tcW w:type="dxa" w:w="480"/>
            <w:tcBorders>
              <w:top w:val="single" w:color="5E35B1" w:sz="8"/>
              <w:left w:val="single" w:color="5E35B1" w:sz="8"/>
              <w:bottom w:val="single" w:color="5E35B1" w:sz="8"/>
              <w:right w:val="single" w:color="5E35B1" w:sz="8"/>
            </w:tcBorders>
            <w:shd w:fill="5E35B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w:t>
            </w:r>
          </w:p>
        </w:tc>
        <w:tc>
          <w:tcPr>
            <w:tcW w:type="dxa" w:w="2200"/>
            <w:tcBorders>
              <w:top w:val="single" w:color="5E35B1" w:sz="8"/>
              <w:left w:val="single" w:color="5E35B1" w:sz="8"/>
              <w:bottom w:val="single" w:color="5E35B1" w:sz="8"/>
              <w:right w:val="single" w:color="5E35B1" w:sz="8"/>
            </w:tcBorders>
            <w:shd w:fill="FFFFFF" w:val="clear"/>
            <w:tcMar>
              <w:top w:type="dxa" w:w="80"/>
              <w:left w:type="dxa" w:w="120"/>
              <w:bottom w:type="dxa" w:w="80"/>
              <w:right w:type="dxa" w:w="120"/>
            </w:tcMar>
          </w:tcPr>
          <w:p>
            <w:r>
              <w:rPr>
                <w:rFonts w:ascii="Arial" w:cs="Arial" w:eastAsia="Arial" w:hAnsi="Arial"/>
                <w:b/>
                <w:bCs/>
                <w:color w:val="1B4F72"/>
                <w:sz w:val="18"/>
                <w:szCs w:val="18"/>
              </w:rPr>
              <w:t xml:space="preserve">QC Reviewer (Sonnet)</w:t>
            </w:r>
          </w:p>
        </w:tc>
        <w:tc>
          <w:tcPr>
            <w:tcW w:type="dxa" w:w="6680"/>
            <w:tcBorders>
              <w:top w:val="single" w:color="5E35B1" w:sz="8"/>
              <w:left w:val="single" w:color="5E35B1" w:sz="8"/>
              <w:bottom w:val="single" w:color="5E35B1" w:sz="8"/>
              <w:right w:val="single" w:color="5E35B1" w:sz="8"/>
            </w:tcBorders>
            <w:shd w:fill="FFFFFF" w:val="clear"/>
            <w:tcMar>
              <w:top w:type="dxa" w:w="80"/>
              <w:left w:type="dxa" w:w="120"/>
              <w:bottom w:type="dxa" w:w="80"/>
              <w:right w:type="dxa" w:w="120"/>
            </w:tcMar>
          </w:tcPr>
          <w:p>
            <w:r>
              <w:rPr>
                <w:rFonts w:ascii="Arial" w:cs="Arial" w:eastAsia="Arial" w:hAnsi="Arial"/>
                <w:color w:val="1C1C2E"/>
                <w:sz w:val="18"/>
                <w:szCs w:val="18"/>
              </w:rPr>
              <w:t xml:space="preserve">Same QC gate as initial send. PASS or REVISE.</w:t>
            </w:r>
          </w:p>
        </w:tc>
      </w:tr>
      <w:tr>
        <w:tc>
          <w:tcPr>
            <w:tcW w:type="dxa" w:w="480"/>
            <w:tcBorders>
              <w:top w:val="single" w:color="5E35B1" w:sz="8"/>
              <w:left w:val="single" w:color="5E35B1" w:sz="8"/>
              <w:bottom w:val="single" w:color="5E35B1" w:sz="8"/>
              <w:right w:val="single" w:color="5E35B1" w:sz="8"/>
            </w:tcBorders>
            <w:shd w:fill="5E35B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2200"/>
            <w:tcBorders>
              <w:top w:val="single" w:color="5E35B1" w:sz="8"/>
              <w:left w:val="single" w:color="5E35B1" w:sz="8"/>
              <w:bottom w:val="single" w:color="5E35B1" w:sz="8"/>
              <w:right w:val="single" w:color="5E35B1" w:sz="8"/>
            </w:tcBorders>
            <w:shd w:fill="F7F8FC" w:val="clear"/>
            <w:tcMar>
              <w:top w:type="dxa" w:w="80"/>
              <w:left w:type="dxa" w:w="120"/>
              <w:bottom w:type="dxa" w:w="80"/>
              <w:right w:type="dxa" w:w="120"/>
            </w:tcMar>
          </w:tcPr>
          <w:p>
            <w:r>
              <w:rPr>
                <w:rFonts w:ascii="Arial" w:cs="Arial" w:eastAsia="Arial" w:hAnsi="Arial"/>
                <w:b/>
                <w:bCs/>
                <w:color w:val="1B4F72"/>
                <w:sz w:val="18"/>
                <w:szCs w:val="18"/>
              </w:rPr>
              <w:t xml:space="preserve">Second SMS sends</w:t>
            </w:r>
          </w:p>
        </w:tc>
        <w:tc>
          <w:tcPr>
            <w:tcW w:type="dxa" w:w="6680"/>
            <w:tcBorders>
              <w:top w:val="single" w:color="5E35B1" w:sz="8"/>
              <w:left w:val="single" w:color="5E35B1" w:sz="8"/>
              <w:bottom w:val="single" w:color="5E35B1" w:sz="8"/>
              <w:right w:val="single" w:color="5E35B1" w:sz="8"/>
            </w:tcBorders>
            <w:shd w:fill="F7F8FC" w:val="clear"/>
            <w:tcMar>
              <w:top w:type="dxa" w:w="80"/>
              <w:left w:type="dxa" w:w="120"/>
              <w:bottom w:type="dxa" w:w="80"/>
              <w:right w:type="dxa" w:w="120"/>
            </w:tcMar>
          </w:tcPr>
          <w:p>
            <w:r>
              <w:rPr>
                <w:rFonts w:ascii="Arial" w:cs="Arial" w:eastAsia="Arial" w:hAnsi="Arial"/>
                <w:color w:val="1C1C2E"/>
                <w:sz w:val="18"/>
                <w:szCs w:val="18"/>
              </w:rPr>
              <w:t xml:space="preserve">Twilio delivers. If no reply after 7 more days → third and final "break-up" SMS. Then lead moves to "Nurture" stage.</w:t>
            </w:r>
          </w:p>
        </w:tc>
      </w:tr>
    </w:tbl>
    <w:p>
      <w:pPr>
        <w:spacing w:after="160"/>
      </w:pPr>
      <w:r>
        <w:t xml:space="preserve"/>
      </w:r>
    </w:p>
    <w:p>
      <w:r>
        <w:br w:type="page"/>
      </w:r>
    </w:p>
    <w:p>
      <w:pPr>
        <w:pStyle w:val="Heading1"/>
        <w:shd w:fill="0D1B2A" w:val="clear"/>
        <w:spacing w:after="240" w:before="480"/>
        <w:ind w:left="200" w:right="200"/>
      </w:pPr>
      <w:r>
        <w:rPr>
          <w:rFonts w:ascii="Arial" w:cs="Arial" w:eastAsia="Arial" w:hAnsi="Arial"/>
          <w:b/>
          <w:bCs/>
          <w:color w:val="FFFFFF"/>
          <w:sz w:val="34"/>
          <w:szCs w:val="34"/>
        </w:rPr>
        <w:t xml:space="preserve">7. Twilio SMS Architecture</w:t>
      </w:r>
    </w:p>
    <w:p>
      <w:pPr>
        <w:spacing w:after="80"/>
      </w:pPr>
      <w:r>
        <w:t xml:space="preserve"/>
      </w:r>
    </w:p>
    <w:p>
      <w:pPr>
        <w:spacing w:after="160"/>
      </w:pPr>
      <w:r>
        <w:rPr>
          <w:rFonts w:ascii="Arial" w:cs="Arial" w:eastAsia="Arial" w:hAnsi="Arial"/>
          <w:color w:val="1C1C2E"/>
          <w:sz w:val="20"/>
          <w:szCs w:val="20"/>
        </w:rPr>
        <w:t xml:space="preserve">Each client gets a dedicated Twilio phone number. All 2-way SMS conversations for that client flow through that number. OpenClaw manages the conversation state in the client's Supabase sms_threads table.</w:t>
      </w:r>
    </w:p>
    <w:p>
      <w:pPr>
        <w:spacing w:after="160"/>
      </w:pPr>
      <w:r>
        <w:t xml:space="preserve"/>
      </w:r>
    </w:p>
    <w:p>
      <w:pPr>
        <w:pStyle w:val="Heading2"/>
        <w:pBdr>
          <w:bottom w:val="single" w:color="00B4D8" w:sz="6" w:space="1"/>
        </w:pBdr>
        <w:spacing w:after="160" w:before="360"/>
      </w:pPr>
      <w:r>
        <w:rPr>
          <w:rFonts w:ascii="Arial" w:cs="Arial" w:eastAsia="Arial" w:hAnsi="Arial"/>
          <w:b/>
          <w:bCs/>
          <w:color w:val="1B4F72"/>
          <w:sz w:val="26"/>
          <w:szCs w:val="26"/>
        </w:rPr>
        <w:t xml:space="preserve">7.1 Twilio Configuration Per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5E35B1" w:sz="6"/>
              <w:left w:val="single" w:color="5E35B1" w:sz="6"/>
              <w:bottom w:val="single" w:color="5E35B1" w:sz="6"/>
              <w:right w:val="single" w:color="5E35B1" w:sz="6"/>
            </w:tcBorders>
            <w:shd w:fill="5E35B1" w:val="clear"/>
            <w:tcMar>
              <w:top w:type="dxa" w:w="80"/>
              <w:left w:type="dxa" w:w="120"/>
              <w:bottom w:type="dxa" w:w="80"/>
              <w:right w:type="dxa" w:w="120"/>
            </w:tcMar>
          </w:tcPr>
          <w:p>
            <w:r>
              <w:rPr>
                <w:rFonts w:ascii="Arial" w:cs="Arial" w:eastAsia="Arial" w:hAnsi="Arial"/>
                <w:b/>
                <w:bCs/>
                <w:color w:val="FFFFFF"/>
                <w:sz w:val="18"/>
                <w:szCs w:val="18"/>
              </w:rPr>
              <w:t xml:space="preserve">Config Item</w:t>
            </w:r>
          </w:p>
        </w:tc>
        <w:tc>
          <w:tcPr>
            <w:tcW w:type="dxa" w:w="6560"/>
            <w:tcBorders>
              <w:top w:val="single" w:color="5E35B1" w:sz="6"/>
              <w:left w:val="single" w:color="5E35B1" w:sz="6"/>
              <w:bottom w:val="single" w:color="5E35B1" w:sz="6"/>
              <w:right w:val="single" w:color="5E35B1" w:sz="6"/>
            </w:tcBorders>
            <w:shd w:fill="5E35B1" w:val="clear"/>
            <w:tcMar>
              <w:top w:type="dxa" w:w="80"/>
              <w:left w:type="dxa" w:w="120"/>
              <w:bottom w:type="dxa" w:w="80"/>
              <w:right w:type="dxa" w:w="120"/>
            </w:tcMar>
          </w:tcPr>
          <w:p>
            <w:r>
              <w:rPr>
                <w:rFonts w:ascii="Arial" w:cs="Arial" w:eastAsia="Arial" w:hAnsi="Arial"/>
                <w:b/>
                <w:bCs/>
                <w:color w:val="FFFFFF"/>
                <w:sz w:val="18"/>
                <w:szCs w:val="18"/>
              </w:rPr>
              <w:t xml:space="preserve">Value / Notes</w:t>
            </w:r>
          </w:p>
        </w:tc>
      </w:tr>
      <w:tr>
        <w:trPr>
          <w:tblHeader w:val="false"/>
        </w:trPr>
        <w:tc>
          <w:tcPr>
            <w:tcW w:type="dxa" w:w="28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Phone number type</w:t>
            </w:r>
          </w:p>
        </w:tc>
        <w:tc>
          <w:tcPr>
            <w:tcW w:type="dxa" w:w="65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Local long code (10DLC) — matches client's area code. E.g. 604-XXX-XXXX for Metro Vancouver clients.</w:t>
            </w:r>
          </w:p>
        </w:tc>
      </w:tr>
      <w:tr>
        <w:trPr>
          <w:tblHeader w:val="false"/>
        </w:trPr>
        <w:tc>
          <w:tcPr>
            <w:tcW w:type="dxa" w:w="2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Inbound webhook</w:t>
            </w:r>
          </w:p>
        </w:tc>
        <w:tc>
          <w:tcPr>
            <w:tcW w:type="dxa" w:w="65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POST to https://[vps-ip]/webhooks/sms/inbound?client_id=[id] — triggers SMS Classifier Agent</w:t>
            </w:r>
          </w:p>
        </w:tc>
      </w:tr>
      <w:tr>
        <w:trPr>
          <w:tblHeader w:val="false"/>
        </w:trPr>
        <w:tc>
          <w:tcPr>
            <w:tcW w:type="dxa" w:w="28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Status callback</w:t>
            </w:r>
          </w:p>
        </w:tc>
        <w:tc>
          <w:tcPr>
            <w:tcW w:type="dxa" w:w="65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POST to https://[vps-ip]/webhooks/sms/status — logs delivery status to sms_threads</w:t>
            </w:r>
          </w:p>
        </w:tc>
      </w:tr>
      <w:tr>
        <w:trPr>
          <w:tblHeader w:val="false"/>
        </w:trPr>
        <w:tc>
          <w:tcPr>
            <w:tcW w:type="dxa" w:w="2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Opt-out keywords</w:t>
            </w:r>
          </w:p>
        </w:tc>
        <w:tc>
          <w:tcPr>
            <w:tcW w:type="dxa" w:w="65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STOP, UNSUBSCRIBE, CANCEL, END — Twilio auto-handles + webhook fires Opt-Out Handler Agent</w:t>
            </w:r>
          </w:p>
        </w:tc>
      </w:tr>
      <w:tr>
        <w:trPr>
          <w:tblHeader w:val="false"/>
        </w:trPr>
        <w:tc>
          <w:tcPr>
            <w:tcW w:type="dxa" w:w="28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Messaging Service</w:t>
            </w:r>
          </w:p>
        </w:tc>
        <w:tc>
          <w:tcPr>
            <w:tcW w:type="dxa" w:w="65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One Messaging Service per client — enables 10DLC compliance registration for Canadian SMS</w:t>
            </w:r>
          </w:p>
        </w:tc>
      </w:tr>
      <w:tr>
        <w:trPr>
          <w:tblHeader w:val="false"/>
        </w:trPr>
        <w:tc>
          <w:tcPr>
            <w:tcW w:type="dxa" w:w="2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Daily send limit</w:t>
            </w:r>
          </w:p>
        </w:tc>
        <w:tc>
          <w:tcPr>
            <w:tcW w:type="dxa" w:w="65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Max 200 SMS/day per number during warmup, scale to 500+ after 30 days of clean sending</w:t>
            </w:r>
          </w:p>
        </w:tc>
      </w:tr>
    </w:tbl>
    <w:p>
      <w:pPr>
        <w:spacing w:after="160"/>
      </w:pPr>
      <w:r>
        <w:t xml:space="preserve"/>
      </w:r>
    </w:p>
    <w:p>
      <w:pPr>
        <w:pStyle w:val="Heading2"/>
        <w:pBdr>
          <w:bottom w:val="single" w:color="00B4D8" w:sz="6" w:space="1"/>
        </w:pBdr>
        <w:spacing w:after="160" w:before="360"/>
      </w:pPr>
      <w:r>
        <w:rPr>
          <w:rFonts w:ascii="Arial" w:cs="Arial" w:eastAsia="Arial" w:hAnsi="Arial"/>
          <w:b/>
          <w:bCs/>
          <w:color w:val="1B4F72"/>
          <w:sz w:val="26"/>
          <w:szCs w:val="26"/>
        </w:rPr>
        <w:t xml:space="preserve">7.2 SMS Message Rules (Enforced by QC Reviewer)</w:t>
      </w:r>
    </w:p>
    <w:p>
      <w:pPr>
        <w:pStyle w:val="ListParagraph"/>
        <w:numPr>
          <w:ilvl w:val="0"/>
          <w:numId w:val="2"/>
        </w:numPr>
        <w:spacing w:after="80"/>
      </w:pPr>
      <w:r>
        <w:rPr>
          <w:rFonts w:ascii="Arial" w:cs="Arial" w:eastAsia="Arial" w:hAnsi="Arial"/>
          <w:color w:val="1C1C2E"/>
          <w:sz w:val="20"/>
          <w:szCs w:val="20"/>
        </w:rPr>
        <w:t xml:space="preserve">Max 160 characters for single SMS — no concatenated messages on first contact</w:t>
      </w:r>
    </w:p>
    <w:p>
      <w:pPr>
        <w:pStyle w:val="ListParagraph"/>
        <w:numPr>
          <w:ilvl w:val="0"/>
          <w:numId w:val="2"/>
        </w:numPr>
        <w:spacing w:after="80"/>
      </w:pPr>
      <w:r>
        <w:rPr>
          <w:rFonts w:ascii="Arial" w:cs="Arial" w:eastAsia="Arial" w:hAnsi="Arial"/>
          <w:color w:val="1C1C2E"/>
          <w:sz w:val="20"/>
          <w:szCs w:val="20"/>
        </w:rPr>
        <w:t xml:space="preserve">Must include business name in first SMS: "Hi [Name], this is [Business] — ..."</w:t>
      </w:r>
    </w:p>
    <w:p>
      <w:pPr>
        <w:pStyle w:val="ListParagraph"/>
        <w:numPr>
          <w:ilvl w:val="0"/>
          <w:numId w:val="2"/>
        </w:numPr>
        <w:spacing w:after="80"/>
      </w:pPr>
      <w:r>
        <w:rPr>
          <w:rFonts w:ascii="Arial" w:cs="Arial" w:eastAsia="Arial" w:hAnsi="Arial"/>
          <w:color w:val="1C1C2E"/>
          <w:sz w:val="20"/>
          <w:szCs w:val="20"/>
        </w:rPr>
        <w:t xml:space="preserve">Must reference something specific — no generic openers</w:t>
      </w:r>
    </w:p>
    <w:p>
      <w:pPr>
        <w:pStyle w:val="ListParagraph"/>
        <w:numPr>
          <w:ilvl w:val="0"/>
          <w:numId w:val="2"/>
        </w:numPr>
        <w:spacing w:after="80"/>
      </w:pPr>
      <w:r>
        <w:rPr>
          <w:rFonts w:ascii="Arial" w:cs="Arial" w:eastAsia="Arial" w:hAnsi="Arial"/>
          <w:color w:val="1C1C2E"/>
          <w:sz w:val="20"/>
          <w:szCs w:val="20"/>
        </w:rPr>
        <w:t xml:space="preserve">One CTA per message — either a question OR a booking link, never both</w:t>
      </w:r>
    </w:p>
    <w:p>
      <w:pPr>
        <w:pStyle w:val="ListParagraph"/>
        <w:numPr>
          <w:ilvl w:val="0"/>
          <w:numId w:val="2"/>
        </w:numPr>
        <w:spacing w:after="80"/>
      </w:pPr>
      <w:r>
        <w:rPr>
          <w:rFonts w:ascii="Arial" w:cs="Arial" w:eastAsia="Arial" w:hAnsi="Arial"/>
          <w:color w:val="1C1C2E"/>
          <w:sz w:val="20"/>
          <w:szCs w:val="20"/>
        </w:rPr>
        <w:t xml:space="preserve">No pricing in first 3 messages — qualify first</w:t>
      </w:r>
    </w:p>
    <w:p>
      <w:pPr>
        <w:pStyle w:val="ListParagraph"/>
        <w:numPr>
          <w:ilvl w:val="0"/>
          <w:numId w:val="2"/>
        </w:numPr>
        <w:spacing w:after="80"/>
      </w:pPr>
      <w:r>
        <w:rPr>
          <w:rFonts w:ascii="Arial" w:cs="Arial" w:eastAsia="Arial" w:hAnsi="Arial"/>
          <w:color w:val="1C1C2E"/>
          <w:sz w:val="20"/>
          <w:szCs w:val="20"/>
        </w:rPr>
        <w:t xml:space="preserve">CASL-compliant: implied consent from publicly listed business phone number is sufficient for B2B SMS in Canada</w:t>
      </w:r>
    </w:p>
    <w:p>
      <w:pPr>
        <w:pStyle w:val="ListParagraph"/>
        <w:numPr>
          <w:ilvl w:val="0"/>
          <w:numId w:val="2"/>
        </w:numPr>
        <w:spacing w:after="80"/>
      </w:pPr>
      <w:r>
        <w:rPr>
          <w:rFonts w:ascii="Arial" w:cs="Arial" w:eastAsia="Arial" w:hAnsi="Arial"/>
          <w:color w:val="1C1C2E"/>
          <w:sz w:val="20"/>
          <w:szCs w:val="20"/>
        </w:rPr>
        <w:t xml:space="preserve">Opt-out always honoured within 10 seconds via Twilio auto-reply + Opt-Out Handler Agent</w:t>
      </w:r>
    </w:p>
    <w:p>
      <w:pPr>
        <w:spacing w:after="160"/>
      </w:pPr>
      <w:r>
        <w:t xml:space="preserve"/>
      </w:r>
    </w:p>
    <w:p>
      <w:r>
        <w:br w:type="page"/>
      </w:r>
    </w:p>
    <w:p>
      <w:pPr>
        <w:pStyle w:val="Heading1"/>
        <w:shd w:fill="0D1B2A" w:val="clear"/>
        <w:spacing w:after="240" w:before="480"/>
        <w:ind w:left="200" w:right="200"/>
      </w:pPr>
      <w:r>
        <w:rPr>
          <w:rFonts w:ascii="Arial" w:cs="Arial" w:eastAsia="Arial" w:hAnsi="Arial"/>
          <w:b/>
          <w:bCs/>
          <w:color w:val="FFFFFF"/>
          <w:sz w:val="34"/>
          <w:szCs w:val="34"/>
        </w:rPr>
        <w:t xml:space="preserve">8. Cal.com Booking Architecture</w:t>
      </w:r>
    </w:p>
    <w:p>
      <w:pPr>
        <w:spacing w:after="80"/>
      </w:pPr>
      <w:r>
        <w:t xml:space="preserve"/>
      </w:r>
    </w:p>
    <w:p>
      <w:pPr>
        <w:spacing w:after="160"/>
      </w:pPr>
      <w:r>
        <w:rPr>
          <w:rFonts w:ascii="Arial" w:cs="Arial" w:eastAsia="Arial" w:hAnsi="Arial"/>
          <w:color w:val="1C1C2E"/>
          <w:sz w:val="20"/>
          <w:szCs w:val="20"/>
        </w:rPr>
        <w:t xml:space="preserve">Cal.com handles all appointment scheduling. Each client gets their own Cal.com account with a branded booking page. The Cal.com webhook fires into the Stage Update Agent on every booking confirmation.</w:t>
      </w:r>
    </w:p>
    <w:p>
      <w:pPr>
        <w:spacing w:after="160"/>
      </w:pPr>
      <w:r>
        <w:t xml:space="preserve"/>
      </w:r>
    </w:p>
    <w:p>
      <w:pPr>
        <w:pStyle w:val="Heading2"/>
        <w:pBdr>
          <w:bottom w:val="single" w:color="00B4D8" w:sz="6" w:space="1"/>
        </w:pBdr>
        <w:spacing w:after="160" w:before="360"/>
      </w:pPr>
      <w:r>
        <w:rPr>
          <w:rFonts w:ascii="Arial" w:cs="Arial" w:eastAsia="Arial" w:hAnsi="Arial"/>
          <w:b/>
          <w:bCs/>
          <w:color w:val="1B4F72"/>
          <w:sz w:val="26"/>
          <w:szCs w:val="26"/>
        </w:rPr>
        <w:t xml:space="preserve">8.1 Cal.com Configuration Per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4F72" w:sz="6"/>
              <w:left w:val="single" w:color="1B4F72" w:sz="6"/>
              <w:bottom w:val="single" w:color="1B4F72" w:sz="6"/>
              <w:right w:val="single" w:color="1B4F72" w:sz="6"/>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Config Item</w:t>
            </w:r>
          </w:p>
        </w:tc>
        <w:tc>
          <w:tcPr>
            <w:tcW w:type="dxa" w:w="6560"/>
            <w:tcBorders>
              <w:top w:val="single" w:color="1B4F72" w:sz="6"/>
              <w:left w:val="single" w:color="1B4F72" w:sz="6"/>
              <w:bottom w:val="single" w:color="1B4F72" w:sz="6"/>
              <w:right w:val="single" w:color="1B4F72" w:sz="6"/>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Value / Notes</w:t>
            </w:r>
          </w:p>
        </w:tc>
      </w:tr>
      <w:tr>
        <w:trPr>
          <w:tblHeader w:val="false"/>
        </w:trPr>
        <w:tc>
          <w:tcPr>
            <w:tcW w:type="dxa" w:w="28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Event type</w:t>
            </w:r>
          </w:p>
        </w:tc>
        <w:tc>
          <w:tcPr>
            <w:tcW w:type="dxa" w:w="65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"Free Consultation" or "[Service] Assessment" — 30-minute default. Client sets their own availability.</w:t>
            </w:r>
          </w:p>
        </w:tc>
      </w:tr>
      <w:tr>
        <w:trPr>
          <w:tblHeader w:val="false"/>
        </w:trPr>
        <w:tc>
          <w:tcPr>
            <w:tcW w:type="dxa" w:w="2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Booking page URL</w:t>
            </w:r>
          </w:p>
        </w:tc>
        <w:tc>
          <w:tcPr>
            <w:tcW w:type="dxa" w:w="65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cal.com/[client-slug]/consultation — sent in POSITIVE SMS responses</w:t>
            </w:r>
          </w:p>
        </w:tc>
      </w:tr>
      <w:tr>
        <w:trPr>
          <w:tblHeader w:val="false"/>
        </w:trPr>
        <w:tc>
          <w:tcPr>
            <w:tcW w:type="dxa" w:w="28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Confirmation webhook</w:t>
            </w:r>
          </w:p>
        </w:tc>
        <w:tc>
          <w:tcPr>
            <w:tcW w:type="dxa" w:w="65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POST to https://[vps-ip]/webhooks/cal/booking?client_id=[id] — triggers Stage Update Agent</w:t>
            </w:r>
          </w:p>
        </w:tc>
      </w:tr>
      <w:tr>
        <w:trPr>
          <w:tblHeader w:val="false"/>
        </w:trPr>
        <w:tc>
          <w:tcPr>
            <w:tcW w:type="dxa" w:w="2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Cancellation webhook</w:t>
            </w:r>
          </w:p>
        </w:tc>
        <w:tc>
          <w:tcPr>
            <w:tcW w:type="dxa" w:w="65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POST to https://[vps-ip]/webhooks/cal/cancel?client_id=[id] — reverts stage, queues re-booking SMS</w:t>
            </w:r>
          </w:p>
        </w:tc>
      </w:tr>
      <w:tr>
        <w:trPr>
          <w:tblHeader w:val="false"/>
        </w:trPr>
        <w:tc>
          <w:tcPr>
            <w:tcW w:type="dxa" w:w="28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No-show webhook</w:t>
            </w:r>
          </w:p>
        </w:tc>
        <w:tc>
          <w:tcPr>
            <w:tcW w:type="dxa" w:w="65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POST to https://[vps-ip]/webhooks/cal/noshow?client_id=[id] — triggers No-Show Handler Agent</w:t>
            </w:r>
          </w:p>
        </w:tc>
      </w:tr>
      <w:tr>
        <w:trPr>
          <w:tblHeader w:val="false"/>
        </w:trPr>
        <w:tc>
          <w:tcPr>
            <w:tcW w:type="dxa" w:w="2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Reminder SMS</w:t>
            </w:r>
          </w:p>
        </w:tc>
        <w:tc>
          <w:tcPr>
            <w:tcW w:type="dxa" w:w="65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Cal.com native 24h + 1h SMS reminder via Twilio integration — no agent needed for reminders</w:t>
            </w:r>
          </w:p>
        </w:tc>
      </w:tr>
      <w:tr>
        <w:trPr>
          <w:tblHeader w:val="false"/>
        </w:trPr>
        <w:tc>
          <w:tcPr>
            <w:tcW w:type="dxa" w:w="28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Plan</w:t>
            </w:r>
          </w:p>
        </w:tc>
        <w:tc>
          <w:tcPr>
            <w:tcW w:type="dxa" w:w="65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Cal.com Teams ($12/mo) — required for webhook support and team scheduling</w:t>
            </w:r>
          </w:p>
        </w:tc>
      </w:tr>
    </w:tbl>
    <w:p>
      <w:pPr>
        <w:spacing w:after="160"/>
      </w:pPr>
      <w:r>
        <w:t xml:space="preserve"/>
      </w:r>
    </w:p>
    <w:p>
      <w:r>
        <w:br w:type="page"/>
      </w:r>
    </w:p>
    <w:p>
      <w:pPr>
        <w:pStyle w:val="Heading1"/>
        <w:shd w:fill="0D1B2A" w:val="clear"/>
        <w:spacing w:after="240" w:before="480"/>
        <w:ind w:left="200" w:right="200"/>
      </w:pPr>
      <w:r>
        <w:rPr>
          <w:rFonts w:ascii="Arial" w:cs="Arial" w:eastAsia="Arial" w:hAnsi="Arial"/>
          <w:b/>
          <w:bCs/>
          <w:color w:val="FFFFFF"/>
          <w:sz w:val="34"/>
          <w:szCs w:val="34"/>
        </w:rPr>
        <w:t xml:space="preserve">9. Client Onboarding &amp; White-Label Path</w:t>
      </w:r>
    </w:p>
    <w:p>
      <w:pPr>
        <w:spacing w:after="160"/>
      </w:pPr>
      <w:r>
        <w:t xml:space="preserve"/>
      </w:r>
    </w:p>
    <w:p>
      <w:pPr>
        <w:pStyle w:val="Heading2"/>
        <w:pBdr>
          <w:bottom w:val="single" w:color="00B4D8" w:sz="6" w:space="1"/>
        </w:pBdr>
        <w:spacing w:after="160" w:before="360"/>
      </w:pPr>
      <w:r>
        <w:rPr>
          <w:rFonts w:ascii="Arial" w:cs="Arial" w:eastAsia="Arial" w:hAnsi="Arial"/>
          <w:b/>
          <w:bCs/>
          <w:color w:val="1B4F72"/>
          <w:sz w:val="26"/>
          <w:szCs w:val="26"/>
        </w:rPr>
        <w:t xml:space="preserve">9.1 DFY Onboarding Checklist (Phase 1)</w:t>
      </w:r>
    </w:p>
    <w:p>
      <w:pPr>
        <w:spacing w:after="160"/>
      </w:pPr>
      <w:r>
        <w:rPr>
          <w:rFonts w:ascii="Arial" w:cs="Arial" w:eastAsia="Arial" w:hAnsi="Arial"/>
          <w:color w:val="1C1C2E"/>
          <w:sz w:val="20"/>
          <w:szCs w:val="20"/>
        </w:rPr>
        <w:t xml:space="preserve">Every new client goes through this checklist. Target: client is live and generating first SMS conversations within 5 business days of signing.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rPr>
          <w:tblHeader/>
        </w:trPr>
        <w:tc>
          <w:tcPr>
            <w:tcW w:type="dxa" w:w="720"/>
            <w:tcBorders>
              <w:top w:val="single" w:color="1A6B3C" w:sz="6"/>
              <w:left w:val="single" w:color="1A6B3C" w:sz="6"/>
              <w:bottom w:val="single" w:color="1A6B3C" w:sz="6"/>
              <w:right w:val="single" w:color="1A6B3C" w:sz="6"/>
            </w:tcBorders>
            <w:shd w:fill="1A6B3C"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5640"/>
            <w:tcBorders>
              <w:top w:val="single" w:color="1A6B3C" w:sz="6"/>
              <w:left w:val="single" w:color="1A6B3C" w:sz="6"/>
              <w:bottom w:val="single" w:color="1A6B3C" w:sz="6"/>
              <w:right w:val="single" w:color="1A6B3C" w:sz="6"/>
            </w:tcBorders>
            <w:shd w:fill="1A6B3C"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3000"/>
            <w:tcBorders>
              <w:top w:val="single" w:color="1A6B3C" w:sz="6"/>
              <w:left w:val="single" w:color="1A6B3C" w:sz="6"/>
              <w:bottom w:val="single" w:color="1A6B3C" w:sz="6"/>
              <w:right w:val="single" w:color="1A6B3C" w:sz="6"/>
            </w:tcBorders>
            <w:shd w:fill="1A6B3C" w:val="clear"/>
            <w:tcMar>
              <w:top w:type="dxa" w:w="80"/>
              <w:left w:type="dxa" w:w="120"/>
              <w:bottom w:type="dxa" w:w="80"/>
              <w:right w:type="dxa" w:w="120"/>
            </w:tcMar>
          </w:tcPr>
          <w:p>
            <w:r>
              <w:rPr>
                <w:rFonts w:ascii="Arial" w:cs="Arial" w:eastAsia="Arial" w:hAnsi="Arial"/>
                <w:b/>
                <w:bCs/>
                <w:color w:val="FFFFFF"/>
                <w:sz w:val="18"/>
                <w:szCs w:val="18"/>
              </w:rPr>
              <w:t xml:space="preserve">Owner</w:t>
            </w:r>
          </w:p>
        </w:tc>
      </w:tr>
      <w:tr>
        <w:trPr>
          <w:tblHeader w:val="false"/>
        </w:trPr>
        <w:tc>
          <w:tcPr>
            <w:tcW w:type="dxa" w:w="72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Day 1</w:t>
            </w:r>
          </w:p>
        </w:tc>
        <w:tc>
          <w:tcPr>
            <w:tcW w:type="dxa" w:w="564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Create client record in InsForge (business name, vertical, service area)</w:t>
            </w:r>
          </w:p>
        </w:tc>
        <w:tc>
          <w:tcPr>
            <w:tcW w:type="dxa" w:w="30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Dennis</w:t>
            </w:r>
          </w:p>
        </w:tc>
      </w:tr>
      <w:tr>
        <w:trPr>
          <w:tblHeader w:val="false"/>
        </w:trPr>
        <w:tc>
          <w:tcPr>
            <w:tcW w:type="dxa" w:w="72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Day 1</w:t>
            </w:r>
          </w:p>
        </w:tc>
        <w:tc>
          <w:tcPr>
            <w:tcW w:type="dxa" w:w="564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Provision new Supabase project using client template. Run schema migrations.</w:t>
            </w:r>
          </w:p>
        </w:tc>
        <w:tc>
          <w:tcPr>
            <w:tcW w:type="dxa" w:w="30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Claude Code / Dennis</w:t>
            </w:r>
          </w:p>
        </w:tc>
      </w:tr>
      <w:tr>
        <w:trPr>
          <w:tblHeader w:val="false"/>
        </w:trPr>
        <w:tc>
          <w:tcPr>
            <w:tcW w:type="dxa" w:w="72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Day 1</w:t>
            </w:r>
          </w:p>
        </w:tc>
        <w:tc>
          <w:tcPr>
            <w:tcW w:type="dxa" w:w="564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Purchase Twilio local number (604/778 area code). Register 10DLC. Configure inbound webhook.</w:t>
            </w:r>
          </w:p>
        </w:tc>
        <w:tc>
          <w:tcPr>
            <w:tcW w:type="dxa" w:w="30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Dennis</w:t>
            </w:r>
          </w:p>
        </w:tc>
      </w:tr>
      <w:tr>
        <w:trPr>
          <w:tblHeader w:val="false"/>
        </w:trPr>
        <w:tc>
          <w:tcPr>
            <w:tcW w:type="dxa" w:w="72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Day 1</w:t>
            </w:r>
          </w:p>
        </w:tc>
        <w:tc>
          <w:tcPr>
            <w:tcW w:type="dxa" w:w="564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Set up Cal.com account for client. Configure event type, availability, webhooks.</w:t>
            </w:r>
          </w:p>
        </w:tc>
        <w:tc>
          <w:tcPr>
            <w:tcW w:type="dxa" w:w="30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Dennis</w:t>
            </w:r>
          </w:p>
        </w:tc>
      </w:tr>
      <w:tr>
        <w:trPr>
          <w:tblHeader w:val="false"/>
        </w:trPr>
        <w:tc>
          <w:tcPr>
            <w:tcW w:type="dxa" w:w="72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Day 2</w:t>
            </w:r>
          </w:p>
        </w:tc>
        <w:tc>
          <w:tcPr>
            <w:tcW w:type="dxa" w:w="564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Create client context file (clients/[name].md) in OpenClaw. Include ICP, service area, Twilio number, Cal.com URL.</w:t>
            </w:r>
          </w:p>
        </w:tc>
        <w:tc>
          <w:tcPr>
            <w:tcW w:type="dxa" w:w="30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Dennis</w:t>
            </w:r>
          </w:p>
        </w:tc>
      </w:tr>
      <w:tr>
        <w:trPr>
          <w:tblHeader w:val="false"/>
        </w:trPr>
        <w:tc>
          <w:tcPr>
            <w:tcW w:type="dxa" w:w="72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Day 2</w:t>
            </w:r>
          </w:p>
        </w:tc>
        <w:tc>
          <w:tcPr>
            <w:tcW w:type="dxa" w:w="564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Configure Lead Sniper to scrape target vertical + service area. Point export to client Google Sheet.</w:t>
            </w:r>
          </w:p>
        </w:tc>
        <w:tc>
          <w:tcPr>
            <w:tcW w:type="dxa" w:w="30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Dennis</w:t>
            </w:r>
          </w:p>
        </w:tc>
      </w:tr>
      <w:tr>
        <w:trPr>
          <w:tblHeader w:val="false"/>
        </w:trPr>
        <w:tc>
          <w:tcPr>
            <w:tcW w:type="dxa" w:w="72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Day 3</w:t>
            </w:r>
          </w:p>
        </w:tc>
        <w:tc>
          <w:tcPr>
            <w:tcW w:type="dxa" w:w="564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Run Lead Ingestion Agent manually on first batch. Verify leads appear in Supabase.</w:t>
            </w:r>
          </w:p>
        </w:tc>
        <w:tc>
          <w:tcPr>
            <w:tcW w:type="dxa" w:w="30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OpenClaw</w:t>
            </w:r>
          </w:p>
        </w:tc>
      </w:tr>
      <w:tr>
        <w:trPr>
          <w:tblHeader w:val="false"/>
        </w:trPr>
        <w:tc>
          <w:tcPr>
            <w:tcW w:type="dxa" w:w="72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Day 3</w:t>
            </w:r>
          </w:p>
        </w:tc>
        <w:tc>
          <w:tcPr>
            <w:tcW w:type="dxa" w:w="564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Run Lead Enrichment Agent on first batch. Verify scores and emails attached.</w:t>
            </w:r>
          </w:p>
        </w:tc>
        <w:tc>
          <w:tcPr>
            <w:tcW w:type="dxa" w:w="30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OpenClaw</w:t>
            </w:r>
          </w:p>
        </w:tc>
      </w:tr>
      <w:tr>
        <w:trPr>
          <w:tblHeader w:val="false"/>
        </w:trPr>
        <w:tc>
          <w:tcPr>
            <w:tcW w:type="dxa" w:w="72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Day 4</w:t>
            </w:r>
          </w:p>
        </w:tc>
        <w:tc>
          <w:tcPr>
            <w:tcW w:type="dxa" w:w="564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Draft first SMS opener using client context. Review with Dennis. Approve.</w:t>
            </w:r>
          </w:p>
        </w:tc>
        <w:tc>
          <w:tcPr>
            <w:tcW w:type="dxa" w:w="30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Dennis + OpenClaw</w:t>
            </w:r>
          </w:p>
        </w:tc>
      </w:tr>
      <w:tr>
        <w:trPr>
          <w:tblHeader w:val="false"/>
        </w:trPr>
        <w:tc>
          <w:tcPr>
            <w:tcW w:type="dxa" w:w="72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Day 5</w:t>
            </w:r>
          </w:p>
        </w:tc>
        <w:tc>
          <w:tcPr>
            <w:tcW w:type="dxa" w:w="564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Send first batch of 20 SMS (warmup volume). Monitor replies.</w:t>
            </w:r>
          </w:p>
        </w:tc>
        <w:tc>
          <w:tcPr>
            <w:tcW w:type="dxa" w:w="30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OpenClaw (Twilio)</w:t>
            </w:r>
          </w:p>
        </w:tc>
      </w:tr>
      <w:tr>
        <w:trPr>
          <w:tblHeader w:val="false"/>
        </w:trPr>
        <w:tc>
          <w:tcPr>
            <w:tcW w:type="dxa" w:w="72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Day 5</w:t>
            </w:r>
          </w:p>
        </w:tc>
        <w:tc>
          <w:tcPr>
            <w:tcW w:type="dxa" w:w="564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Verify client dashboard (Supabase-backed) showing leads, SMS threads, stage.</w:t>
            </w:r>
          </w:p>
        </w:tc>
        <w:tc>
          <w:tcPr>
            <w:tcW w:type="dxa" w:w="30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Dennis</w:t>
            </w:r>
          </w:p>
        </w:tc>
      </w:tr>
    </w:tbl>
    <w:p>
      <w:pPr>
        <w:spacing w:after="160"/>
      </w:pPr>
      <w:r>
        <w:t xml:space="preserve"/>
      </w:r>
    </w:p>
    <w:p>
      <w:pPr>
        <w:pStyle w:val="Heading2"/>
        <w:pBdr>
          <w:bottom w:val="single" w:color="00B4D8" w:sz="6" w:space="1"/>
        </w:pBdr>
        <w:spacing w:after="160" w:before="360"/>
      </w:pPr>
      <w:r>
        <w:rPr>
          <w:rFonts w:ascii="Arial" w:cs="Arial" w:eastAsia="Arial" w:hAnsi="Arial"/>
          <w:b/>
          <w:bCs/>
          <w:color w:val="1B4F72"/>
          <w:sz w:val="26"/>
          <w:szCs w:val="26"/>
        </w:rPr>
        <w:t xml:space="preserve">9.2 White-Label Upgrade Path</w:t>
      </w:r>
    </w:p>
    <w:p>
      <w:pPr>
        <w:spacing w:after="160"/>
      </w:pPr>
      <w:r>
        <w:rPr>
          <w:rFonts w:ascii="Arial" w:cs="Arial" w:eastAsia="Arial" w:hAnsi="Arial"/>
          <w:color w:val="1C1C2E"/>
          <w:sz w:val="20"/>
          <w:szCs w:val="20"/>
        </w:rPr>
        <w:t xml:space="preserve">As KlickSmart scales past 10 clients, the DFY model becomes a white-label product. The architecture already supports this — no rebuilding required.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D4860B" w:sz="6"/>
              <w:left w:val="single" w:color="D4860B" w:sz="6"/>
              <w:bottom w:val="single" w:color="D4860B" w:sz="6"/>
              <w:right w:val="single" w:color="D4860B" w:sz="6"/>
            </w:tcBorders>
            <w:shd w:fill="D4860B" w:val="clear"/>
            <w:tcMar>
              <w:top w:type="dxa" w:w="80"/>
              <w:left w:type="dxa" w:w="120"/>
              <w:bottom w:type="dxa" w:w="80"/>
              <w:right w:type="dxa" w:w="120"/>
            </w:tcMar>
          </w:tcPr>
          <w:p>
            <w:r>
              <w:rPr>
                <w:rFonts w:ascii="Arial" w:cs="Arial" w:eastAsia="Arial" w:hAnsi="Arial"/>
                <w:b/>
                <w:bCs/>
                <w:color w:val="FFFFFF"/>
                <w:sz w:val="18"/>
                <w:szCs w:val="18"/>
              </w:rPr>
              <w:t xml:space="preserve">Upgrade Step</w:t>
            </w:r>
          </w:p>
        </w:tc>
        <w:tc>
          <w:tcPr>
            <w:tcW w:type="dxa" w:w="4000"/>
            <w:tcBorders>
              <w:top w:val="single" w:color="D4860B" w:sz="6"/>
              <w:left w:val="single" w:color="D4860B" w:sz="6"/>
              <w:bottom w:val="single" w:color="D4860B" w:sz="6"/>
              <w:right w:val="single" w:color="D4860B" w:sz="6"/>
            </w:tcBorders>
            <w:shd w:fill="D4860B" w:val="clear"/>
            <w:tcMar>
              <w:top w:type="dxa" w:w="80"/>
              <w:left w:type="dxa" w:w="120"/>
              <w:bottom w:type="dxa" w:w="80"/>
              <w:right w:type="dxa" w:w="120"/>
            </w:tcMar>
          </w:tcPr>
          <w:p>
            <w:r>
              <w:rPr>
                <w:rFonts w:ascii="Arial" w:cs="Arial" w:eastAsia="Arial" w:hAnsi="Arial"/>
                <w:b/>
                <w:bCs/>
                <w:color w:val="FFFFFF"/>
                <w:sz w:val="18"/>
                <w:szCs w:val="18"/>
              </w:rPr>
              <w:t xml:space="preserve">What Changes</w:t>
            </w:r>
          </w:p>
        </w:tc>
        <w:tc>
          <w:tcPr>
            <w:tcW w:type="dxa" w:w="2960"/>
            <w:tcBorders>
              <w:top w:val="single" w:color="D4860B" w:sz="6"/>
              <w:left w:val="single" w:color="D4860B" w:sz="6"/>
              <w:bottom w:val="single" w:color="D4860B" w:sz="6"/>
              <w:right w:val="single" w:color="D4860B" w:sz="6"/>
            </w:tcBorders>
            <w:shd w:fill="D4860B" w:val="clear"/>
            <w:tcMar>
              <w:top w:type="dxa" w:w="80"/>
              <w:left w:type="dxa" w:w="120"/>
              <w:bottom w:type="dxa" w:w="80"/>
              <w:right w:type="dxa" w:w="120"/>
            </w:tcMar>
          </w:tcPr>
          <w:p>
            <w:r>
              <w:rPr>
                <w:rFonts w:ascii="Arial" w:cs="Arial" w:eastAsia="Arial" w:hAnsi="Arial"/>
                <w:b/>
                <w:bCs/>
                <w:color w:val="FFFFFF"/>
                <w:sz w:val="18"/>
                <w:szCs w:val="18"/>
              </w:rPr>
              <w:t xml:space="preserve">What Stays the Same</w:t>
            </w:r>
          </w:p>
        </w:tc>
      </w:tr>
      <w:tr>
        <w:trPr>
          <w:tblHeader w:val="false"/>
        </w:trPr>
        <w:tc>
          <w:tcPr>
            <w:tcW w:type="dxa" w:w="24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Custom domain per client</w:t>
            </w:r>
          </w:p>
        </w:tc>
        <w:tc>
          <w:tcPr>
            <w:tcW w:type="dxa" w:w="40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crm.torresplumbing.com instead of klicksmart.ca/torres — Nginx routing config update</w:t>
            </w:r>
          </w:p>
        </w:tc>
        <w:tc>
          <w:tcPr>
            <w:tcW w:type="dxa" w:w="29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All backend logic unchanged</w:t>
            </w:r>
          </w:p>
        </w:tc>
      </w:tr>
      <w:tr>
        <w:trPr>
          <w:tblHeader w:val="false"/>
        </w:trPr>
        <w:tc>
          <w:tcPr>
            <w:tcW w:type="dxa" w:w="24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Client self-service portal</w:t>
            </w:r>
          </w:p>
        </w:tc>
        <w:tc>
          <w:tcPr>
            <w:tcW w:type="dxa" w:w="40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Add auth layer to CRM frontend (Supabase Auth) so client logs in directly</w:t>
            </w:r>
          </w:p>
        </w:tc>
        <w:tc>
          <w:tcPr>
            <w:tcW w:type="dxa" w:w="29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OpenClaw still runs everything</w:t>
            </w:r>
          </w:p>
        </w:tc>
      </w:tr>
      <w:tr>
        <w:trPr>
          <w:tblHeader w:val="false"/>
        </w:trPr>
        <w:tc>
          <w:tcPr>
            <w:tcW w:type="dxa" w:w="24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Branded SMS sender name</w:t>
            </w:r>
          </w:p>
        </w:tc>
        <w:tc>
          <w:tcPr>
            <w:tcW w:type="dxa" w:w="40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Twilio Verified Caller ID + client business name in SMS signature</w:t>
            </w:r>
          </w:p>
        </w:tc>
        <w:tc>
          <w:tcPr>
            <w:tcW w:type="dxa" w:w="29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Same Twilio infrastructure</w:t>
            </w:r>
          </w:p>
        </w:tc>
      </w:tr>
      <w:tr>
        <w:trPr>
          <w:tblHeader w:val="false"/>
        </w:trPr>
        <w:tc>
          <w:tcPr>
            <w:tcW w:type="dxa" w:w="24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Client manages own Cal.com</w:t>
            </w:r>
          </w:p>
        </w:tc>
        <w:tc>
          <w:tcPr>
            <w:tcW w:type="dxa" w:w="40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Transfer Cal.com account ownership to client, keep webhook URL pointed at KlickSmart VPS</w:t>
            </w:r>
          </w:p>
        </w:tc>
        <w:tc>
          <w:tcPr>
            <w:tcW w:type="dxa" w:w="29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Booking flow unchanged</w:t>
            </w:r>
          </w:p>
        </w:tc>
      </w:tr>
      <w:tr>
        <w:trPr>
          <w:tblHeader w:val="false"/>
        </w:trPr>
        <w:tc>
          <w:tcPr>
            <w:tcW w:type="dxa" w:w="24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Reseller billing</w:t>
            </w:r>
          </w:p>
        </w:tc>
        <w:tc>
          <w:tcPr>
            <w:tcW w:type="dxa" w:w="40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Client pays KlickSmart directly, Dennis pays Supabase/Twilio/Cal.com wholesale</w:t>
            </w:r>
          </w:p>
        </w:tc>
        <w:tc>
          <w:tcPr>
            <w:tcW w:type="dxa" w:w="29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Margin: ~60-70% at scale</w:t>
            </w:r>
          </w:p>
        </w:tc>
      </w:tr>
    </w:tbl>
    <w:p>
      <w:pPr>
        <w:spacing w:after="160"/>
      </w:pPr>
      <w:r>
        <w:t xml:space="preserve"/>
      </w:r>
    </w:p>
    <w:p>
      <w:pPr>
        <w:pStyle w:val="Heading2"/>
        <w:pBdr>
          <w:bottom w:val="single" w:color="00B4D8" w:sz="6" w:space="1"/>
        </w:pBdr>
        <w:spacing w:after="160" w:before="360"/>
      </w:pPr>
      <w:r>
        <w:rPr>
          <w:rFonts w:ascii="Arial" w:cs="Arial" w:eastAsia="Arial" w:hAnsi="Arial"/>
          <w:b/>
          <w:bCs/>
          <w:color w:val="1B4F72"/>
          <w:sz w:val="26"/>
          <w:szCs w:val="26"/>
        </w:rPr>
        <w:t xml:space="preserve">9.3 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40"/>
        <w:gridCol w:w="4560"/>
        <w:gridCol w:w="1760"/>
      </w:tblGrid>
      <w:tr>
        <w:trPr>
          <w:tblHeader/>
        </w:trPr>
        <w:tc>
          <w:tcPr>
            <w:tcW w:type="dxa" w:w="1600"/>
            <w:tcBorders>
              <w:top w:val="single" w:color="E84545" w:sz="6"/>
              <w:left w:val="single" w:color="E84545" w:sz="6"/>
              <w:bottom w:val="single" w:color="E84545" w:sz="6"/>
              <w:right w:val="single" w:color="E84545" w:sz="6"/>
            </w:tcBorders>
            <w:shd w:fill="E84545"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440"/>
            <w:tcBorders>
              <w:top w:val="single" w:color="E84545" w:sz="6"/>
              <w:left w:val="single" w:color="E84545" w:sz="6"/>
              <w:bottom w:val="single" w:color="E84545" w:sz="6"/>
              <w:right w:val="single" w:color="E84545" w:sz="6"/>
            </w:tcBorders>
            <w:shd w:fill="E84545" w:val="clear"/>
            <w:tcMar>
              <w:top w:type="dxa" w:w="80"/>
              <w:left w:type="dxa" w:w="120"/>
              <w:bottom w:type="dxa" w:w="80"/>
              <w:right w:type="dxa" w:w="120"/>
            </w:tcMar>
          </w:tcPr>
          <w:p>
            <w:r>
              <w:rPr>
                <w:rFonts w:ascii="Arial" w:cs="Arial" w:eastAsia="Arial" w:hAnsi="Arial"/>
                <w:b/>
                <w:bCs/>
                <w:color w:val="FFFFFF"/>
                <w:sz w:val="18"/>
                <w:szCs w:val="18"/>
              </w:rPr>
              <w:t xml:space="preserve">Price</w:t>
            </w:r>
          </w:p>
        </w:tc>
        <w:tc>
          <w:tcPr>
            <w:tcW w:type="dxa" w:w="4560"/>
            <w:tcBorders>
              <w:top w:val="single" w:color="E84545" w:sz="6"/>
              <w:left w:val="single" w:color="E84545" w:sz="6"/>
              <w:bottom w:val="single" w:color="E84545" w:sz="6"/>
              <w:right w:val="single" w:color="E84545" w:sz="6"/>
            </w:tcBorders>
            <w:shd w:fill="E84545" w:val="clear"/>
            <w:tcMar>
              <w:top w:type="dxa" w:w="80"/>
              <w:left w:type="dxa" w:w="120"/>
              <w:bottom w:type="dxa" w:w="80"/>
              <w:right w:type="dxa" w:w="120"/>
            </w:tcMar>
          </w:tcPr>
          <w:p>
            <w:r>
              <w:rPr>
                <w:rFonts w:ascii="Arial" w:cs="Arial" w:eastAsia="Arial" w:hAnsi="Arial"/>
                <w:b/>
                <w:bCs/>
                <w:color w:val="FFFFFF"/>
                <w:sz w:val="18"/>
                <w:szCs w:val="18"/>
              </w:rPr>
              <w:t xml:space="preserve">What's Included</w:t>
            </w:r>
          </w:p>
        </w:tc>
        <w:tc>
          <w:tcPr>
            <w:tcW w:type="dxa" w:w="1760"/>
            <w:tcBorders>
              <w:top w:val="single" w:color="E84545" w:sz="6"/>
              <w:left w:val="single" w:color="E84545" w:sz="6"/>
              <w:bottom w:val="single" w:color="E84545" w:sz="6"/>
              <w:right w:val="single" w:color="E84545" w:sz="6"/>
            </w:tcBorders>
            <w:shd w:fill="E84545" w:val="clear"/>
            <w:tcMar>
              <w:top w:type="dxa" w:w="80"/>
              <w:left w:type="dxa" w:w="120"/>
              <w:bottom w:type="dxa" w:w="80"/>
              <w:right w:type="dxa" w:w="120"/>
            </w:tcMar>
          </w:tcPr>
          <w:p>
            <w:r>
              <w:rPr>
                <w:rFonts w:ascii="Arial" w:cs="Arial" w:eastAsia="Arial" w:hAnsi="Arial"/>
                <w:b/>
                <w:bCs/>
                <w:color w:val="FFFFFF"/>
                <w:sz w:val="18"/>
                <w:szCs w:val="18"/>
              </w:rPr>
              <w:t xml:space="preserve">Margin</w:t>
            </w:r>
          </w:p>
        </w:tc>
      </w:tr>
      <w:tr>
        <w:trPr>
          <w:tblHeader w:val="false"/>
        </w:trPr>
        <w:tc>
          <w:tcPr>
            <w:tcW w:type="dxa" w:w="16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DFY Starter</w:t>
            </w:r>
          </w:p>
        </w:tc>
        <w:tc>
          <w:tcPr>
            <w:tcW w:type="dxa" w:w="144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$997/mo</w:t>
            </w:r>
          </w:p>
        </w:tc>
        <w:tc>
          <w:tcPr>
            <w:tcW w:type="dxa" w:w="45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Setup + full automation for 1 vertical. Up to 500 SMS/mo. Dashboard access. Monthly report.</w:t>
            </w:r>
          </w:p>
        </w:tc>
        <w:tc>
          <w:tcPr>
            <w:tcW w:type="dxa" w:w="17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~65% after stack costs</w:t>
            </w:r>
          </w:p>
        </w:tc>
      </w:tr>
      <w:tr>
        <w:trPr>
          <w:tblHeader w:val="false"/>
        </w:trPr>
        <w:tc>
          <w:tcPr>
            <w:tcW w:type="dxa" w:w="16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DFY Growth</w:t>
            </w:r>
          </w:p>
        </w:tc>
        <w:tc>
          <w:tcPr>
            <w:tcW w:type="dxa" w:w="144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$1,497/mo</w:t>
            </w:r>
          </w:p>
        </w:tc>
        <w:tc>
          <w:tcPr>
            <w:tcW w:type="dxa" w:w="45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Everything in Starter + cold email via Smartlead + 2 verticals + weekly report call.</w:t>
            </w:r>
          </w:p>
        </w:tc>
        <w:tc>
          <w:tcPr>
            <w:tcW w:type="dxa" w:w="17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~60% after stack costs</w:t>
            </w:r>
          </w:p>
        </w:tc>
      </w:tr>
      <w:tr>
        <w:trPr>
          <w:tblHeader w:val="false"/>
        </w:trPr>
        <w:tc>
          <w:tcPr>
            <w:tcW w:type="dxa" w:w="16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White-Label</w:t>
            </w:r>
          </w:p>
        </w:tc>
        <w:tc>
          <w:tcPr>
            <w:tcW w:type="dxa" w:w="144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$497/mo (SaaS)</w:t>
            </w:r>
          </w:p>
        </w:tc>
        <w:tc>
          <w:tcPr>
            <w:tcW w:type="dxa" w:w="45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Client runs own portal. KlickSmart provides infrastructure + OpenClaw. Min 10 clients.</w:t>
            </w:r>
          </w:p>
        </w:tc>
        <w:tc>
          <w:tcPr>
            <w:tcW w:type="dxa" w:w="17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~75% at scale</w:t>
            </w:r>
          </w:p>
        </w:tc>
      </w:tr>
      <w:tr>
        <w:trPr>
          <w:tblHeader w:val="false"/>
        </w:trPr>
        <w:tc>
          <w:tcPr>
            <w:tcW w:type="dxa" w:w="16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Setup Fee</w:t>
            </w:r>
          </w:p>
        </w:tc>
        <w:tc>
          <w:tcPr>
            <w:tcW w:type="dxa" w:w="144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$997 one-time</w:t>
            </w:r>
          </w:p>
        </w:tc>
        <w:tc>
          <w:tcPr>
            <w:tcW w:type="dxa" w:w="45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Supabase provisioning, Twilio setup, Cal.com config, first lead batch, SMS warmup.</w:t>
            </w:r>
          </w:p>
        </w:tc>
        <w:tc>
          <w:tcPr>
            <w:tcW w:type="dxa" w:w="17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~80% margin</w:t>
            </w:r>
          </w:p>
        </w:tc>
      </w:tr>
    </w:tbl>
    <w:p>
      <w:pPr>
        <w:spacing w:after="160"/>
      </w:pPr>
      <w:r>
        <w:t xml:space="preserve"/>
      </w:r>
    </w:p>
    <w:p>
      <w:r>
        <w:br w:type="page"/>
      </w:r>
    </w:p>
    <w:p>
      <w:pPr>
        <w:pStyle w:val="Heading1"/>
        <w:shd w:fill="0D1B2A" w:val="clear"/>
        <w:spacing w:after="240" w:before="480"/>
        <w:ind w:left="200" w:right="200"/>
      </w:pPr>
      <w:r>
        <w:rPr>
          <w:rFonts w:ascii="Arial" w:cs="Arial" w:eastAsia="Arial" w:hAnsi="Arial"/>
          <w:b/>
          <w:bCs/>
          <w:color w:val="FFFFFF"/>
          <w:sz w:val="34"/>
          <w:szCs w:val="34"/>
        </w:rPr>
        <w:t xml:space="preserve">10. VPS Deployment Architecture</w:t>
      </w:r>
    </w:p>
    <w:p>
      <w:pPr>
        <w:spacing w:after="80"/>
      </w:pPr>
      <w:r>
        <w:t xml:space="preserve"/>
      </w:r>
    </w:p>
    <w:p>
      <w:pPr>
        <w:spacing w:after="160"/>
      </w:pPr>
      <w:r>
        <w:rPr>
          <w:rFonts w:ascii="Arial" w:cs="Arial" w:eastAsia="Arial" w:hAnsi="Arial"/>
          <w:color w:val="1C1C2E"/>
          <w:sz w:val="20"/>
          <w:szCs w:val="20"/>
        </w:rPr>
        <w:t xml:space="preserve">All agency infrastructure runs on a single Hetzner VPS. Client Supabase projects run in Supabase cloud (one project per client). Client Twilio numbers are managed centrally but billed per client.</w:t>
      </w:r>
    </w:p>
    <w:p>
      <w:pPr>
        <w:spacing w:after="160"/>
      </w:pPr>
      <w:r>
        <w:t xml:space="preserve"/>
      </w:r>
    </w:p>
    <w:p>
      <w:pPr>
        <w:pStyle w:val="Heading2"/>
        <w:pBdr>
          <w:bottom w:val="single" w:color="00B4D8" w:sz="6" w:space="1"/>
        </w:pBdr>
        <w:spacing w:after="160" w:before="360"/>
      </w:pPr>
      <w:r>
        <w:rPr>
          <w:rFonts w:ascii="Arial" w:cs="Arial" w:eastAsia="Arial" w:hAnsi="Arial"/>
          <w:b/>
          <w:bCs/>
          <w:color w:val="1B4F72"/>
          <w:sz w:val="26"/>
          <w:szCs w:val="26"/>
        </w:rPr>
        <w:t xml:space="preserve">10.1 Docker Compose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760"/>
        <w:gridCol w:w="3600"/>
      </w:tblGrid>
      <w:tr>
        <w:trPr>
          <w:tblHeader/>
        </w:trPr>
        <w:tc>
          <w:tcPr>
            <w:tcW w:type="dxa" w:w="20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20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Image</w:t>
            </w:r>
          </w:p>
        </w:tc>
        <w:tc>
          <w:tcPr>
            <w:tcW w:type="dxa" w:w="17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Port</w:t>
            </w:r>
          </w:p>
        </w:tc>
        <w:tc>
          <w:tcPr>
            <w:tcW w:type="dxa" w:w="36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rPr>
          <w:tblHeader w:val="false"/>
        </w:trPr>
        <w:tc>
          <w:tcPr>
            <w:tcW w:type="dxa" w:w="20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openclaw</w:t>
            </w:r>
          </w:p>
        </w:tc>
        <w:tc>
          <w:tcPr>
            <w:tcW w:type="dxa" w:w="20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openclaw/openclaw</w:t>
            </w:r>
          </w:p>
        </w:tc>
        <w:tc>
          <w:tcPr>
            <w:tcW w:type="dxa" w:w="17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18789 (internal)</w:t>
            </w:r>
          </w:p>
        </w:tc>
        <w:tc>
          <w:tcPr>
            <w:tcW w:type="dxa" w:w="36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AI orchestrator. Mounts Soul.md, User.md, HEARTBEAT.md, clients/, skills/</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insforge</w:t>
            </w:r>
          </w:p>
        </w:tc>
        <w:tc>
          <w:tcPr>
            <w:tcW w:type="dxa" w:w="20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insforge/insforge</w:t>
            </w:r>
          </w:p>
        </w:tc>
        <w:tc>
          <w:tcPr>
            <w:tcW w:type="dxa" w:w="17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7131 (internal)</w:t>
            </w:r>
          </w:p>
        </w:tc>
        <w:tc>
          <w:tcPr>
            <w:tcW w:type="dxa" w:w="36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Agency backend API + MCP server + Model Gateway</w:t>
            </w:r>
          </w:p>
        </w:tc>
      </w:tr>
      <w:tr>
        <w:trPr>
          <w:tblHeader w:val="false"/>
        </w:trPr>
        <w:tc>
          <w:tcPr>
            <w:tcW w:type="dxa" w:w="20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postgres</w:t>
            </w:r>
          </w:p>
        </w:tc>
        <w:tc>
          <w:tcPr>
            <w:tcW w:type="dxa" w:w="20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postgres:16</w:t>
            </w:r>
          </w:p>
        </w:tc>
        <w:tc>
          <w:tcPr>
            <w:tcW w:type="dxa" w:w="17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5432 (internal)</w:t>
            </w:r>
          </w:p>
        </w:tc>
        <w:tc>
          <w:tcPr>
            <w:tcW w:type="dxa" w:w="36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InsForge database. Persistent named volume.</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crm-frontend</w:t>
            </w:r>
          </w:p>
        </w:tc>
        <w:tc>
          <w:tcPr>
            <w:tcW w:type="dxa" w:w="20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nginx:alpine</w:t>
            </w:r>
          </w:p>
        </w:tc>
        <w:tc>
          <w:tcPr>
            <w:tcW w:type="dxa" w:w="17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80 (proxied)</w:t>
            </w:r>
          </w:p>
        </w:tc>
        <w:tc>
          <w:tcPr>
            <w:tcW w:type="dxa" w:w="36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Agency master dashboard + client portal SPA</w:t>
            </w:r>
          </w:p>
        </w:tc>
      </w:tr>
      <w:tr>
        <w:trPr>
          <w:tblHeader w:val="false"/>
        </w:trPr>
        <w:tc>
          <w:tcPr>
            <w:tcW w:type="dxa" w:w="20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webhook-receiver</w:t>
            </w:r>
          </w:p>
        </w:tc>
        <w:tc>
          <w:tcPr>
            <w:tcW w:type="dxa" w:w="20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node:22</w:t>
            </w:r>
          </w:p>
        </w:tc>
        <w:tc>
          <w:tcPr>
            <w:tcW w:type="dxa" w:w="17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3000 (internal)</w:t>
            </w:r>
          </w:p>
        </w:tc>
        <w:tc>
          <w:tcPr>
            <w:tcW w:type="dxa" w:w="36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Receives Twilio + Cal.com webhooks, dispatches to OpenClaw</w:t>
            </w:r>
          </w:p>
        </w:tc>
      </w:tr>
      <w:tr>
        <w:trPr>
          <w:tblHeader w:val="false"/>
        </w:trPr>
        <w:tc>
          <w:tcPr>
            <w:tcW w:type="dxa" w:w="20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nginx-proxy</w:t>
            </w:r>
          </w:p>
        </w:tc>
        <w:tc>
          <w:tcPr>
            <w:tcW w:type="dxa" w:w="20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nginx:alpine</w:t>
            </w:r>
          </w:p>
        </w:tc>
        <w:tc>
          <w:tcPr>
            <w:tcW w:type="dxa" w:w="17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443 (public)</w:t>
            </w:r>
          </w:p>
        </w:tc>
        <w:tc>
          <w:tcPr>
            <w:tcW w:type="dxa" w:w="36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SSL termination. Routes /api → insforge, /webhooks → webhook-receiver, / → crm-frontend</w:t>
            </w:r>
          </w:p>
        </w:tc>
      </w:tr>
    </w:tbl>
    <w:p>
      <w:pPr>
        <w:spacing w:after="160"/>
      </w:pPr>
      <w:r>
        <w:t xml:space="preserve"/>
      </w:r>
    </w:p>
    <w:p>
      <w:pPr>
        <w:pStyle w:val="Heading2"/>
        <w:pBdr>
          <w:bottom w:val="single" w:color="00B4D8" w:sz="6" w:space="1"/>
        </w:pBdr>
        <w:spacing w:after="160" w:before="360"/>
      </w:pPr>
      <w:r>
        <w:rPr>
          <w:rFonts w:ascii="Arial" w:cs="Arial" w:eastAsia="Arial" w:hAnsi="Arial"/>
          <w:b/>
          <w:bCs/>
          <w:color w:val="1B4F72"/>
          <w:sz w:val="26"/>
          <w:szCs w:val="26"/>
        </w:rPr>
        <w:t xml:space="preserve">10.2 Infrastructure Costs (Agency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18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Monthly Cost</w:t>
            </w:r>
          </w:p>
        </w:tc>
        <w:tc>
          <w:tcPr>
            <w:tcW w:type="dxa" w:w="47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rPr>
          <w:tblHeader w:val="false"/>
        </w:trPr>
        <w:tc>
          <w:tcPr>
            <w:tcW w:type="dxa" w:w="28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Hetzner CX21 VPS</w:t>
            </w:r>
          </w:p>
        </w:tc>
        <w:tc>
          <w:tcPr>
            <w:tcW w:type="dxa" w:w="18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~€6 (~$9)</w:t>
            </w:r>
          </w:p>
        </w:tc>
        <w:tc>
          <w:tcPr>
            <w:tcW w:type="dxa" w:w="47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2 vCPU / 4GB RAM / 40GB SSD. Sufficient for 20+ clients.</w:t>
            </w:r>
          </w:p>
        </w:tc>
      </w:tr>
      <w:tr>
        <w:trPr>
          <w:tblHeader w:val="false"/>
        </w:trPr>
        <w:tc>
          <w:tcPr>
            <w:tcW w:type="dxa" w:w="2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OpenClaw Claude API</w:t>
            </w:r>
          </w:p>
        </w:tc>
        <w:tc>
          <w:tcPr>
            <w:tcW w:type="dxa" w:w="1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$100–200</w:t>
            </w:r>
          </w:p>
        </w:tc>
        <w:tc>
          <w:tcPr>
            <w:tcW w:type="dxa" w:w="47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Haiku-first routing. Sonnet for SMS + reports. Scales with client count.</w:t>
            </w:r>
          </w:p>
        </w:tc>
      </w:tr>
      <w:tr>
        <w:trPr>
          <w:tblHeader w:val="false"/>
        </w:trPr>
        <w:tc>
          <w:tcPr>
            <w:tcW w:type="dxa" w:w="28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Google Workspace</w:t>
            </w:r>
          </w:p>
        </w:tc>
        <w:tc>
          <w:tcPr>
            <w:tcW w:type="dxa" w:w="18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$6/user</w:t>
            </w:r>
          </w:p>
        </w:tc>
        <w:tc>
          <w:tcPr>
            <w:tcW w:type="dxa" w:w="47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Dennis's account for gws CLI (Gmail, Sheets, Calendar)</w:t>
            </w:r>
          </w:p>
        </w:tc>
      </w:tr>
      <w:tr>
        <w:trPr>
          <w:tblHeader w:val="false"/>
        </w:trPr>
        <w:tc>
          <w:tcPr>
            <w:tcW w:type="dxa" w:w="2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Hunter.io</w:t>
            </w:r>
          </w:p>
        </w:tc>
        <w:tc>
          <w:tcPr>
            <w:tcW w:type="dxa" w:w="1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$49</w:t>
            </w:r>
          </w:p>
        </w:tc>
        <w:tc>
          <w:tcPr>
            <w:tcW w:type="dxa" w:w="47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Starter — 500 email finds/mo. Upgrade as client count grows.</w:t>
            </w:r>
          </w:p>
        </w:tc>
      </w:tr>
      <w:tr>
        <w:trPr>
          <w:tblHeader w:val="false"/>
        </w:trPr>
        <w:tc>
          <w:tcPr>
            <w:tcW w:type="dxa" w:w="28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Lead Sniper AI</w:t>
            </w:r>
          </w:p>
        </w:tc>
        <w:tc>
          <w:tcPr>
            <w:tcW w:type="dxa" w:w="18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Agency tool</w:t>
            </w:r>
          </w:p>
        </w:tc>
        <w:tc>
          <w:tcPr>
            <w:tcW w:type="dxa" w:w="47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Already owned. Shared across all client campaigns.</w:t>
            </w:r>
          </w:p>
        </w:tc>
      </w:tr>
      <w:tr>
        <w:trPr>
          <w:tblHeader w:val="false"/>
        </w:trPr>
        <w:tc>
          <w:tcPr>
            <w:tcW w:type="dxa" w:w="2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InsForge</w:t>
            </w:r>
          </w:p>
        </w:tc>
        <w:tc>
          <w:tcPr>
            <w:tcW w:type="dxa" w:w="1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Self-hosted</w:t>
            </w:r>
          </w:p>
        </w:tc>
        <w:tc>
          <w:tcPr>
            <w:tcW w:type="dxa" w:w="47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No licence cost. Runs on the same VPS.</w:t>
            </w:r>
          </w:p>
        </w:tc>
      </w:tr>
      <w:tr>
        <w:trPr>
          <w:tblHeader w:val="false"/>
        </w:trPr>
        <w:tc>
          <w:tcPr>
            <w:tcW w:type="dxa" w:w="28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TOTAL AGENCY INFRA</w:t>
            </w:r>
          </w:p>
        </w:tc>
        <w:tc>
          <w:tcPr>
            <w:tcW w:type="dxa" w:w="18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~$170–260/mo</w:t>
            </w:r>
          </w:p>
        </w:tc>
        <w:tc>
          <w:tcPr>
            <w:tcW w:type="dxa" w:w="47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Fixed cost regardless of client count up to ~20 clients.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UNIT ECONOMICS</w:t>
            </w:r>
          </w:p>
        </w:tc>
        <w:tc>
          <w:tcPr>
            <w:tcW w:type="dxa" w:w="7920"/>
            <w:tcBorders>
              <w:top w:val="single" w:color="E6F4EA" w:sz="8"/>
              <w:left w:val="none" w:color="FFFFFF" w:sz="0"/>
              <w:bottom w:val="single" w:color="E6F4EA" w:sz="8"/>
              <w:right w:val="single" w:color="E6F4EA" w:sz="8"/>
            </w:tcBorders>
            <w:shd w:fill="E6F4EA" w:val="clear"/>
            <w:tcMar>
              <w:top w:type="dxa" w:w="120"/>
              <w:left w:type="dxa" w:w="160"/>
              <w:bottom w:type="dxa" w:w="120"/>
              <w:right w:type="dxa" w:w="200"/>
            </w:tcMar>
          </w:tcPr>
          <w:p>
            <w:pPr>
              <w:spacing w:after="60"/>
            </w:pPr>
            <w:r>
              <w:rPr>
                <w:rFonts w:ascii="Arial" w:cs="Arial" w:eastAsia="Arial" w:hAnsi="Arial"/>
                <w:color w:val="1C1C2E"/>
                <w:sz w:val="19"/>
                <w:szCs w:val="19"/>
              </w:rPr>
              <w:t xml:space="preserve">Agency infra: ~$200/mo fixed</w:t>
            </w:r>
          </w:p>
          <w:p>
            <w:pPr>
              <w:spacing w:after="60"/>
            </w:pPr>
            <w:r>
              <w:rPr>
                <w:rFonts w:ascii="Arial" w:cs="Arial" w:eastAsia="Arial" w:hAnsi="Arial"/>
                <w:color w:val="1C1C2E"/>
                <w:sz w:val="19"/>
                <w:szCs w:val="19"/>
              </w:rPr>
              <w:t xml:space="preserve">Per-client variable: Supabase ~$25 + Twilio ~$20 usage + Cal.com $12 = ~$57/mo per client</w:t>
            </w:r>
          </w:p>
          <w:p>
            <w:pPr>
              <w:spacing w:after="60"/>
            </w:pPr>
            <w:r>
              <w:rPr>
                <w:rFonts w:ascii="Arial" w:cs="Arial" w:eastAsia="Arial" w:hAnsi="Arial"/>
                <w:color w:val="1C1C2E"/>
                <w:sz w:val="19"/>
                <w:szCs w:val="19"/>
              </w:rPr>
              <w:t xml:space="preserve">Revenue per DFY Starter client: $997/mo + $997 setup</w:t>
            </w:r>
          </w:p>
          <w:p>
            <w:pPr>
              <w:spacing w:after="60"/>
            </w:pPr>
            <w:r>
              <w:rPr>
                <w:rFonts w:ascii="Arial" w:cs="Arial" w:eastAsia="Arial" w:hAnsi="Arial"/>
                <w:color w:val="1C1C2E"/>
                <w:sz w:val="19"/>
                <w:szCs w:val="19"/>
              </w:rPr>
              <w:t xml:space="preserve">At 5 clients: Revenue $4,985/mo · Costs ~$485/mo · Margin ~$4,500/mo (90%)</w:t>
            </w:r>
          </w:p>
          <w:p>
            <w:pPr>
              <w:spacing w:after="60"/>
            </w:pPr>
            <w:r>
              <w:rPr>
                <w:rFonts w:ascii="Arial" w:cs="Arial" w:eastAsia="Arial" w:hAnsi="Arial"/>
                <w:color w:val="1C1C2E"/>
                <w:sz w:val="19"/>
                <w:szCs w:val="19"/>
              </w:rPr>
              <w:t xml:space="preserve">At 10 clients: Revenue $9,970/mo · Costs ~$770/mo · Margin ~$9,200/mo (92%)</w:t>
            </w:r>
          </w:p>
        </w:tc>
      </w:tr>
    </w:tbl>
    <w:p>
      <w:pPr>
        <w:spacing w:after="160"/>
      </w:pPr>
      <w:r>
        <w:t xml:space="preserve"/>
      </w:r>
    </w:p>
    <w:p>
      <w:r>
        <w:br w:type="page"/>
      </w:r>
    </w:p>
    <w:p>
      <w:pPr>
        <w:pStyle w:val="Heading1"/>
        <w:shd w:fill="0D1B2A" w:val="clear"/>
        <w:spacing w:after="240" w:before="480"/>
        <w:ind w:left="200" w:right="200"/>
      </w:pPr>
      <w:r>
        <w:rPr>
          <w:rFonts w:ascii="Arial" w:cs="Arial" w:eastAsia="Arial" w:hAnsi="Arial"/>
          <w:b/>
          <w:bCs/>
          <w:color w:val="FFFFFF"/>
          <w:sz w:val="34"/>
          <w:szCs w:val="34"/>
        </w:rPr>
        <w:t xml:space="preserve">11. Phased Build Sequence</w:t>
      </w:r>
    </w:p>
    <w:p>
      <w:pPr>
        <w:spacing w:after="80"/>
      </w:pPr>
      <w:r>
        <w:t xml:space="preserve"/>
      </w:r>
    </w:p>
    <w:p>
      <w:pPr>
        <w:spacing w:after="160"/>
      </w:pPr>
      <w:r>
        <w:rPr>
          <w:rFonts w:ascii="Arial" w:cs="Arial" w:eastAsia="Arial" w:hAnsi="Arial"/>
          <w:color w:val="1C1C2E"/>
          <w:sz w:val="20"/>
          <w:szCs w:val="20"/>
        </w:rPr>
        <w:t xml:space="preserve">Seven phases. Each phase is independently testable. Do not move to the next phase until the exit criteria is met. This sequence is designed to be executed in Claude Code with this document as context.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3600"/>
      </w:tblGrid>
      <w:tr>
        <w:trPr>
          <w:tblHeader/>
        </w:trPr>
        <w:tc>
          <w:tcPr>
            <w:tcW w:type="dxa" w:w="1400"/>
            <w:tcBorders>
              <w:top w:val="single" w:color="E84545" w:sz="6"/>
              <w:left w:val="single" w:color="E84545" w:sz="6"/>
              <w:bottom w:val="single" w:color="E84545" w:sz="6"/>
              <w:right w:val="single" w:color="E84545" w:sz="6"/>
            </w:tcBorders>
            <w:shd w:fill="E84545"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4360"/>
            <w:tcBorders>
              <w:top w:val="single" w:color="E84545" w:sz="6"/>
              <w:left w:val="single" w:color="E84545" w:sz="6"/>
              <w:bottom w:val="single" w:color="E84545" w:sz="6"/>
              <w:right w:val="single" w:color="E84545" w:sz="6"/>
            </w:tcBorders>
            <w:shd w:fill="E84545" w:val="clear"/>
            <w:tcMar>
              <w:top w:type="dxa" w:w="80"/>
              <w:left w:type="dxa" w:w="120"/>
              <w:bottom w:type="dxa" w:w="80"/>
              <w:right w:type="dxa" w:w="120"/>
            </w:tcMar>
          </w:tcPr>
          <w:p>
            <w:r>
              <w:rPr>
                <w:rFonts w:ascii="Arial" w:cs="Arial" w:eastAsia="Arial" w:hAnsi="Arial"/>
                <w:b/>
                <w:bCs/>
                <w:color w:val="FFFFFF"/>
                <w:sz w:val="18"/>
                <w:szCs w:val="18"/>
              </w:rPr>
              <w:t xml:space="preserve">Work</w:t>
            </w:r>
          </w:p>
        </w:tc>
        <w:tc>
          <w:tcPr>
            <w:tcW w:type="dxa" w:w="3600"/>
            <w:tcBorders>
              <w:top w:val="single" w:color="E84545" w:sz="6"/>
              <w:left w:val="single" w:color="E84545" w:sz="6"/>
              <w:bottom w:val="single" w:color="E84545" w:sz="6"/>
              <w:right w:val="single" w:color="E84545" w:sz="6"/>
            </w:tcBorders>
            <w:shd w:fill="E84545" w:val="clear"/>
            <w:tcMar>
              <w:top w:type="dxa" w:w="80"/>
              <w:left w:type="dxa" w:w="120"/>
              <w:bottom w:type="dxa" w:w="80"/>
              <w:right w:type="dxa" w:w="120"/>
            </w:tcMar>
          </w:tcPr>
          <w:p>
            <w:r>
              <w:rPr>
                <w:rFonts w:ascii="Arial" w:cs="Arial" w:eastAsia="Arial" w:hAnsi="Arial"/>
                <w:b/>
                <w:bCs/>
                <w:color w:val="FFFFFF"/>
                <w:sz w:val="18"/>
                <w:szCs w:val="18"/>
              </w:rPr>
              <w:t xml:space="preserve">Exit Criteria</w:t>
            </w:r>
          </w:p>
        </w:tc>
      </w:tr>
      <w:tr>
        <w:trPr>
          <w:tblHeader w:val="false"/>
        </w:trPr>
        <w:tc>
          <w:tcPr>
            <w:tcW w:type="dxa" w:w="14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Phase 1
Infrastructure</w:t>
            </w:r>
          </w:p>
        </w:tc>
        <w:tc>
          <w:tcPr>
            <w:tcW w:type="dxa" w:w="43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Provision Hetzner VPS. Install Docker + Compose. Deploy InsForge + PostgreSQL. Create InsForge clients table. Set up Nginx proxy with SSL.</w:t>
            </w:r>
          </w:p>
        </w:tc>
        <w:tc>
          <w:tcPr>
            <w:tcW w:type="dxa" w:w="36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InsForge dashboard loads at https://[domain]. Database has clients table. SSL certificate valid.</w:t>
            </w:r>
          </w:p>
        </w:tc>
      </w:tr>
      <w:tr>
        <w:trPr>
          <w:tblHeader w:val="false"/>
        </w:trPr>
        <w:tc>
          <w:tcPr>
            <w:tcW w:type="dxa" w:w="14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Phase 2
OpenClaw Core</w:t>
            </w:r>
          </w:p>
        </w:tc>
        <w:tc>
          <w:tcPr>
            <w:tcW w:type="dxa" w:w="43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Deploy OpenClaw container. Create Soul.md, User.md, HEARTBEAT.md. Connect InsForge MCP. Test with: "list all clients in the database."</w:t>
            </w:r>
          </w:p>
        </w:tc>
        <w:tc>
          <w:tcPr>
            <w:tcW w:type="dxa" w:w="36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OpenClaw responds with real InsForge data. MCP handshake confirmed.</w:t>
            </w:r>
          </w:p>
        </w:tc>
      </w:tr>
      <w:tr>
        <w:trPr>
          <w:tblHeader w:val="false"/>
        </w:trPr>
        <w:tc>
          <w:tcPr>
            <w:tcW w:type="dxa" w:w="14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Phase 3
First Client</w:t>
            </w:r>
          </w:p>
        </w:tc>
        <w:tc>
          <w:tcPr>
            <w:tcW w:type="dxa" w:w="43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Provision client Supabase project from template. Create clients/torres-plumbing.md. Purchase Twilio number. Configure Cal.com. Add client record to InsForge.</w:t>
            </w:r>
          </w:p>
        </w:tc>
        <w:tc>
          <w:tcPr>
            <w:tcW w:type="dxa" w:w="36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Client record in InsForge. Supabase project live with schema. Twilio number active.</w:t>
            </w:r>
          </w:p>
        </w:tc>
      </w:tr>
      <w:tr>
        <w:trPr>
          <w:tblHeader w:val="false"/>
        </w:trPr>
        <w:tc>
          <w:tcPr>
            <w:tcW w:type="dxa" w:w="14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Phase 4
Lead Pipeline</w:t>
            </w:r>
          </w:p>
        </w:tc>
        <w:tc>
          <w:tcPr>
            <w:tcW w:type="dxa" w:w="43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Build Lead Ingestion + Enrichment + CASL Guard + Signal Detection agents. Connect Lead Sniper Google Sheet. Run first manual batch import.</w:t>
            </w:r>
          </w:p>
        </w:tc>
        <w:tc>
          <w:tcPr>
            <w:tcW w:type="dxa" w:w="36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10+ real leads in client Supabase. Enriched with scores. CASL check passing.</w:t>
            </w:r>
          </w:p>
        </w:tc>
      </w:tr>
      <w:tr>
        <w:trPr>
          <w:tblHeader w:val="false"/>
        </w:trPr>
        <w:tc>
          <w:tcPr>
            <w:tcW w:type="dxa" w:w="14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Phase 5
SMS Engine</w:t>
            </w:r>
          </w:p>
        </w:tc>
        <w:tc>
          <w:tcPr>
            <w:tcW w:type="dxa" w:w="43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Build SMS Opener + Classifier + Responder + Follow-Up + Opt-Out Handler agents. Deploy webhook-receiver service. Wire Twilio inbound webhook.</w:t>
            </w:r>
          </w:p>
        </w:tc>
        <w:tc>
          <w:tcPr>
            <w:tcW w:type="dxa" w:w="36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Send one real SMS to a test lead. Receive reply. Classifier correctly categorises it. Responder drafts appropriate reply.</w:t>
            </w:r>
          </w:p>
        </w:tc>
      </w:tr>
      <w:tr>
        <w:trPr>
          <w:tblHeader w:val="false"/>
        </w:trPr>
        <w:tc>
          <w:tcPr>
            <w:tcW w:type="dxa" w:w="14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Phase 6
Booking + Staging</w:t>
            </w:r>
          </w:p>
        </w:tc>
        <w:tc>
          <w:tcPr>
            <w:tcW w:type="dxa" w:w="43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Build Stage Update + Appointment Notifier + No-Show Handler agents. Configure Cal.com webhooks. Test full flow end-to-end.</w:t>
            </w:r>
          </w:p>
        </w:tc>
        <w:tc>
          <w:tcPr>
            <w:tcW w:type="dxa" w:w="36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Full flow test: Sheet row → SMS → reply → booking link → Cal.com confirmation → Supabase stage updated → Slack notification sent.</w:t>
            </w:r>
          </w:p>
        </w:tc>
      </w:tr>
      <w:tr>
        <w:trPr>
          <w:tblHeader w:val="false"/>
        </w:trPr>
        <w:tc>
          <w:tcPr>
            <w:tcW w:type="dxa" w:w="14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Phase 7
Dashboard + Reporting</w:t>
            </w:r>
          </w:p>
        </w:tc>
        <w:tc>
          <w:tcPr>
            <w:tcW w:type="dxa" w:w="43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Deploy CRM frontend. Wire InsForge agency view + Supabase client view. Build Morning Report + Weekly Report agents. Activate full HEARTBEAT cron.</w:t>
            </w:r>
          </w:p>
        </w:tc>
        <w:tc>
          <w:tcPr>
            <w:tcW w:type="dxa" w:w="36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Dashboard shows real data for first client. Morning report fires at 07:30 and posts to Slack. Weekly report writes to Google Sheet.</w:t>
            </w:r>
          </w:p>
        </w:tc>
      </w:tr>
    </w:tbl>
    <w:p>
      <w:pPr>
        <w:spacing w:after="160"/>
      </w:pPr>
      <w:r>
        <w:t xml:space="preserve"/>
      </w:r>
    </w:p>
    <w:p>
      <w:r>
        <w:br w:type="page"/>
      </w:r>
    </w:p>
    <w:p>
      <w:pPr>
        <w:pStyle w:val="Heading1"/>
        <w:shd w:fill="0D1B2A" w:val="clear"/>
        <w:spacing w:after="240" w:before="480"/>
        <w:ind w:left="200" w:right="200"/>
      </w:pPr>
      <w:r>
        <w:rPr>
          <w:rFonts w:ascii="Arial" w:cs="Arial" w:eastAsia="Arial" w:hAnsi="Arial"/>
          <w:b/>
          <w:bCs/>
          <w:color w:val="FFFFFF"/>
          <w:sz w:val="34"/>
          <w:szCs w:val="34"/>
        </w:rPr>
        <w:t xml:space="preserve">12. Outstanding Items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D4860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NOTE</w:t>
            </w:r>
          </w:p>
        </w:tc>
        <w:tc>
          <w:tcPr>
            <w:tcW w:type="dxa" w:w="7920"/>
            <w:tcBorders>
              <w:top w:val="single" w:color="FFF8E1" w:sz="8"/>
              <w:left w:val="none" w:color="FFFFFF" w:sz="0"/>
              <w:bottom w:val="single" w:color="FFF8E1" w:sz="8"/>
              <w:right w:val="single" w:color="FFF8E1" w:sz="8"/>
            </w:tcBorders>
            <w:shd w:fill="FFF8E1" w:val="clear"/>
            <w:tcMar>
              <w:top w:type="dxa" w:w="120"/>
              <w:left w:type="dxa" w:w="160"/>
              <w:bottom w:type="dxa" w:w="120"/>
              <w:right w:type="dxa" w:w="200"/>
            </w:tcMar>
          </w:tcPr>
          <w:p>
            <w:pPr>
              <w:spacing w:after="60"/>
            </w:pPr>
            <w:r>
              <w:rPr>
                <w:rFonts w:ascii="Arial" w:cs="Arial" w:eastAsia="Arial" w:hAnsi="Arial"/>
                <w:color w:val="1C1C2E"/>
                <w:sz w:val="19"/>
                <w:szCs w:val="19"/>
              </w:rPr>
              <w:t xml:space="preserve">These items must be resolved before the corresponding phase can complete. None block Phases 1-3.</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0392B" w:sz="6"/>
              <w:left w:val="single" w:color="C0392B" w:sz="6"/>
              <w:bottom w:val="single" w:color="C0392B" w:sz="6"/>
              <w:right w:val="single" w:color="C0392B" w:sz="6"/>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2200"/>
            <w:tcBorders>
              <w:top w:val="single" w:color="C0392B" w:sz="6"/>
              <w:left w:val="single" w:color="C0392B" w:sz="6"/>
              <w:bottom w:val="single" w:color="C0392B" w:sz="6"/>
              <w:right w:val="single" w:color="C0392B" w:sz="6"/>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Blocks</w:t>
            </w:r>
          </w:p>
        </w:tc>
        <w:tc>
          <w:tcPr>
            <w:tcW w:type="dxa" w:w="4560"/>
            <w:tcBorders>
              <w:top w:val="single" w:color="C0392B" w:sz="6"/>
              <w:left w:val="single" w:color="C0392B" w:sz="6"/>
              <w:bottom w:val="single" w:color="C0392B" w:sz="6"/>
              <w:right w:val="single" w:color="C0392B" w:sz="6"/>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Owner / Notes</w:t>
            </w:r>
          </w:p>
        </w:tc>
      </w:tr>
      <w:tr>
        <w:trPr>
          <w:tblHeader w:val="false"/>
        </w:trPr>
        <w:tc>
          <w:tcPr>
            <w:tcW w:type="dxa" w:w="26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EnrichLayer API key</w:t>
            </w:r>
          </w:p>
        </w:tc>
        <w:tc>
          <w:tcPr>
            <w:tcW w:type="dxa" w:w="22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Phase 4 (Lead Enrichment Agent)</w:t>
            </w:r>
          </w:p>
        </w:tc>
        <w:tc>
          <w:tcPr>
            <w:tcW w:type="dxa" w:w="45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Account setup pending. Hunter.io is the email-only fallback.</w:t>
            </w:r>
          </w:p>
        </w:tc>
      </w:tr>
      <w:tr>
        <w:trPr>
          <w:tblHeader w:val="false"/>
        </w:trPr>
        <w:tc>
          <w:tcPr>
            <w:tcW w:type="dxa" w:w="26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Google OAuth credentials</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Phase 2 (gws CLI for Sheets + reporting)</w:t>
            </w:r>
          </w:p>
        </w:tc>
        <w:tc>
          <w:tcPr>
            <w:tcW w:type="dxa" w:w="45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Google Cloud Console project. Enable Calendar, Drive, Gmail, Sheets APIs. 15-min setup.</w:t>
            </w:r>
          </w:p>
        </w:tc>
      </w:tr>
      <w:tr>
        <w:trPr>
          <w:tblHeader w:val="false"/>
        </w:trPr>
        <w:tc>
          <w:tcPr>
            <w:tcW w:type="dxa" w:w="26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Lead Sniper Google Sheet ID</w:t>
            </w:r>
          </w:p>
        </w:tc>
        <w:tc>
          <w:tcPr>
            <w:tcW w:type="dxa" w:w="22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Phase 4 (Lead Ingestion Agent)</w:t>
            </w:r>
          </w:p>
        </w:tc>
        <w:tc>
          <w:tcPr>
            <w:tcW w:type="dxa" w:w="45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Create shared Sheet. Configure Lead Sniper to export to it. Share with OpenClaw service account.</w:t>
            </w:r>
          </w:p>
        </w:tc>
      </w:tr>
      <w:tr>
        <w:trPr>
          <w:tblHeader w:val="false"/>
        </w:trPr>
        <w:tc>
          <w:tcPr>
            <w:tcW w:type="dxa" w:w="26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First client signed</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Phase 3</w:t>
            </w:r>
          </w:p>
        </w:tc>
        <w:tc>
          <w:tcPr>
            <w:tcW w:type="dxa" w:w="45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Need real client (plumber or HVAC) to provision Supabase + Twilio for. IDC can serve as internal test client in the meantime.</w:t>
            </w:r>
          </w:p>
        </w:tc>
      </w:tr>
      <w:tr>
        <w:trPr>
          <w:tblHeader w:val="false"/>
        </w:trPr>
        <w:tc>
          <w:tcPr>
            <w:tcW w:type="dxa" w:w="26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Twilio 10DLC registration</w:t>
            </w:r>
          </w:p>
        </w:tc>
        <w:tc>
          <w:tcPr>
            <w:tcW w:type="dxa" w:w="22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Phase 5 (SMS sends)</w:t>
            </w:r>
          </w:p>
        </w:tc>
        <w:tc>
          <w:tcPr>
            <w:tcW w:type="dxa" w:w="45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Required for Canadian local numbers. ~3-5 day approval. Register as soon as first client is signed.</w:t>
            </w:r>
          </w:p>
        </w:tc>
      </w:tr>
      <w:tr>
        <w:trPr>
          <w:tblHeader w:val="false"/>
        </w:trPr>
        <w:tc>
          <w:tcPr>
            <w:tcW w:type="dxa" w:w="26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Cal.com account per client</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Phase 6 (booking flow)</w:t>
            </w:r>
          </w:p>
        </w:tc>
        <w:tc>
          <w:tcPr>
            <w:tcW w:type="dxa" w:w="45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Create Cal.com Teams account per client on onboarding. $12/mo per client.</w:t>
            </w:r>
          </w:p>
        </w:tc>
      </w:tr>
      <w:tr>
        <w:trPr>
          <w:tblHeader w:val="false"/>
        </w:trPr>
        <w:tc>
          <w:tcPr>
            <w:tcW w:type="dxa" w:w="26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IDC value prop copy (Kevan)</w:t>
            </w:r>
          </w:p>
        </w:tc>
        <w:tc>
          <w:tcPr>
            <w:tcW w:type="dxa" w:w="22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IDC-specific agents</w:t>
            </w:r>
          </w:p>
        </w:tc>
        <w:tc>
          <w:tcPr>
            <w:tcW w:type="dxa" w:w="45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Existing IDC build. Needed for Reply Handler prompt for advisor recruiting sequence.</w:t>
            </w:r>
          </w:p>
        </w:tc>
      </w:tr>
    </w:tbl>
    <w:p>
      <w:pPr>
        <w:spacing w:after="160"/>
      </w:pPr>
      <w:r>
        <w:t xml:space="preserve"/>
      </w:r>
    </w:p>
    <w:p>
      <w:r>
        <w:br w:type="page"/>
      </w:r>
    </w:p>
    <w:p>
      <w:pPr>
        <w:pStyle w:val="Heading1"/>
        <w:shd w:fill="0D1B2A" w:val="clear"/>
        <w:spacing w:after="240" w:before="480"/>
        <w:ind w:left="200" w:right="200"/>
      </w:pPr>
      <w:r>
        <w:rPr>
          <w:rFonts w:ascii="Arial" w:cs="Arial" w:eastAsia="Arial" w:hAnsi="Arial"/>
          <w:b/>
          <w:bCs/>
          <w:color w:val="FFFFFF"/>
          <w:sz w:val="34"/>
          <w:szCs w:val="34"/>
        </w:rPr>
        <w:t xml:space="preserve">Appendix A — Agent Model Assignment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4F72" w:sz="6"/>
              <w:left w:val="single" w:color="1B4F72" w:sz="6"/>
              <w:bottom w:val="single" w:color="1B4F72" w:sz="6"/>
              <w:right w:val="single" w:color="1B4F72" w:sz="6"/>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6960"/>
            <w:tcBorders>
              <w:top w:val="single" w:color="1B4F72" w:sz="6"/>
              <w:left w:val="single" w:color="1B4F72" w:sz="6"/>
              <w:bottom w:val="single" w:color="1B4F72" w:sz="6"/>
              <w:right w:val="single" w:color="1B4F72" w:sz="6"/>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Use For (in this system)</w:t>
            </w:r>
          </w:p>
        </w:tc>
      </w:tr>
      <w:tr>
        <w:trPr>
          <w:tblHeader w:val="false"/>
        </w:trPr>
        <w:tc>
          <w:tcPr>
            <w:tcW w:type="dxa" w:w="24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Haiku (Tier 1)
~60% of tasks</w:t>
            </w:r>
          </w:p>
        </w:tc>
        <w:tc>
          <w:tcPr>
            <w:tcW w:type="dxa" w:w="69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Lead Ingestion · CASL Guard · Signal Detection · SMS Follow-Up · Opt-Out Handler · Stage Update · Appointment Notifier · No-Show Handler · Evening Digest · Telemetry Check · Master Router classification</w:t>
            </w:r>
          </w:p>
        </w:tc>
      </w:tr>
      <w:tr>
        <w:trPr>
          <w:tblHeader w:val="false"/>
        </w:trPr>
        <w:tc>
          <w:tcPr>
            <w:tcW w:type="dxa" w:w="24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Sonnet (Tier 2)
~38% of tasks</w:t>
            </w:r>
          </w:p>
        </w:tc>
        <w:tc>
          <w:tcPr>
            <w:tcW w:type="dxa" w:w="69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Lead Enrichment · SMS Opener · SMS Classifier · SMS Responder · SMS QC Reviewer · Morning Report · Weekly Report · Advisor Qualifier (IDC)</w:t>
            </w:r>
          </w:p>
        </w:tc>
      </w:tr>
      <w:tr>
        <w:trPr>
          <w:tblHeader w:val="false"/>
        </w:trPr>
        <w:tc>
          <w:tcPr>
            <w:tcW w:type="dxa" w:w="24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Opus (Tier 3)
&lt;2% of tasks</w:t>
            </w:r>
          </w:p>
        </w:tc>
        <w:tc>
          <w:tcPr>
            <w:tcW w:type="dxa" w:w="69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Architecture decisions · High-stakes copy review when Sonnet is clearly insufficient · Never used in scheduled/automated tasks</w:t>
            </w:r>
          </w:p>
        </w:tc>
      </w:tr>
    </w:tbl>
    <w:p>
      <w:pPr>
        <w:spacing w:after="160"/>
      </w:pPr>
      <w:r>
        <w:t xml:space="preserve"/>
      </w:r>
    </w:p>
    <w:p>
      <w:pPr>
        <w:pStyle w:val="Heading1"/>
        <w:shd w:fill="0D1B2A" w:val="clear"/>
        <w:spacing w:after="240" w:before="480"/>
        <w:ind w:left="200" w:right="200"/>
      </w:pPr>
      <w:r>
        <w:rPr>
          <w:rFonts w:ascii="Arial" w:cs="Arial" w:eastAsia="Arial" w:hAnsi="Arial"/>
          <w:b/>
          <w:bCs/>
          <w:color w:val="FFFFFF"/>
          <w:sz w:val="34"/>
          <w:szCs w:val="34"/>
        </w:rPr>
        <w:t xml:space="preserve">Appendix B — Webhook Endpoint Map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00B4D8" w:sz="6"/>
              <w:left w:val="single" w:color="00B4D8" w:sz="6"/>
              <w:bottom w:val="single" w:color="00B4D8" w:sz="6"/>
              <w:right w:val="single" w:color="00B4D8" w:sz="6"/>
            </w:tcBorders>
            <w:shd w:fill="00B4D8"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800"/>
            <w:tcBorders>
              <w:top w:val="single" w:color="00B4D8" w:sz="6"/>
              <w:left w:val="single" w:color="00B4D8" w:sz="6"/>
              <w:bottom w:val="single" w:color="00B4D8" w:sz="6"/>
              <w:right w:val="single" w:color="00B4D8" w:sz="6"/>
            </w:tcBorders>
            <w:shd w:fill="00B4D8"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4360"/>
            <w:tcBorders>
              <w:top w:val="single" w:color="00B4D8" w:sz="6"/>
              <w:left w:val="single" w:color="00B4D8" w:sz="6"/>
              <w:bottom w:val="single" w:color="00B4D8" w:sz="6"/>
              <w:right w:val="single" w:color="00B4D8" w:sz="6"/>
            </w:tcBorders>
            <w:shd w:fill="00B4D8" w:val="clear"/>
            <w:tcMar>
              <w:top w:type="dxa" w:w="80"/>
              <w:left w:type="dxa" w:w="120"/>
              <w:bottom w:type="dxa" w:w="80"/>
              <w:right w:type="dxa" w:w="120"/>
            </w:tcMar>
          </w:tcPr>
          <w:p>
            <w:r>
              <w:rPr>
                <w:rFonts w:ascii="Arial" w:cs="Arial" w:eastAsia="Arial" w:hAnsi="Arial"/>
                <w:b/>
                <w:bCs/>
                <w:color w:val="FFFFFF"/>
                <w:sz w:val="18"/>
                <w:szCs w:val="18"/>
              </w:rPr>
              <w:t xml:space="preserve">Triggers</w:t>
            </w:r>
          </w:p>
        </w:tc>
      </w:tr>
      <w:tr>
        <w:trPr>
          <w:tblHeader w:val="false"/>
        </w:trPr>
        <w:tc>
          <w:tcPr>
            <w:tcW w:type="dxa" w:w="32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POST /webhooks/sms/inbound?client_id=X</w:t>
            </w:r>
          </w:p>
        </w:tc>
        <w:tc>
          <w:tcPr>
            <w:tcW w:type="dxa" w:w="18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Twilio</w:t>
            </w:r>
          </w:p>
        </w:tc>
        <w:tc>
          <w:tcPr>
            <w:tcW w:type="dxa" w:w="43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SMS Classifier Agent for client X</w:t>
            </w:r>
          </w:p>
        </w:tc>
      </w:tr>
      <w:tr>
        <w:trPr>
          <w:tblHeader w:val="false"/>
        </w:trPr>
        <w:tc>
          <w:tcPr>
            <w:tcW w:type="dxa" w:w="3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POST /webhooks/sms/status?client_id=X</w:t>
            </w:r>
          </w:p>
        </w:tc>
        <w:tc>
          <w:tcPr>
            <w:tcW w:type="dxa" w:w="1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Twilio</w:t>
            </w:r>
          </w:p>
        </w:tc>
        <w:tc>
          <w:tcPr>
            <w:tcW w:type="dxa" w:w="43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Log delivery status to sms_threads</w:t>
            </w:r>
          </w:p>
        </w:tc>
      </w:tr>
      <w:tr>
        <w:trPr>
          <w:tblHeader w:val="false"/>
        </w:trPr>
        <w:tc>
          <w:tcPr>
            <w:tcW w:type="dxa" w:w="32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POST /webhooks/cal/booking?client_id=X</w:t>
            </w:r>
          </w:p>
        </w:tc>
        <w:tc>
          <w:tcPr>
            <w:tcW w:type="dxa" w:w="18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Cal.com</w:t>
            </w:r>
          </w:p>
        </w:tc>
        <w:tc>
          <w:tcPr>
            <w:tcW w:type="dxa" w:w="43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Stage Update Agent + Appointment Notifier</w:t>
            </w:r>
          </w:p>
        </w:tc>
      </w:tr>
      <w:tr>
        <w:trPr>
          <w:tblHeader w:val="false"/>
        </w:trPr>
        <w:tc>
          <w:tcPr>
            <w:tcW w:type="dxa" w:w="3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POST /webhooks/cal/cancel?client_id=X</w:t>
            </w:r>
          </w:p>
        </w:tc>
        <w:tc>
          <w:tcPr>
            <w:tcW w:type="dxa" w:w="1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Cal.com</w:t>
            </w:r>
          </w:p>
        </w:tc>
        <w:tc>
          <w:tcPr>
            <w:tcW w:type="dxa" w:w="43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Stage revert + re-booking SMS queue</w:t>
            </w:r>
          </w:p>
        </w:tc>
      </w:tr>
      <w:tr>
        <w:trPr>
          <w:tblHeader w:val="false"/>
        </w:trPr>
        <w:tc>
          <w:tcPr>
            <w:tcW w:type="dxa" w:w="32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POST /webhooks/cal/noshow?client_id=X</w:t>
            </w:r>
          </w:p>
        </w:tc>
        <w:tc>
          <w:tcPr>
            <w:tcW w:type="dxa" w:w="180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Cal.com</w:t>
            </w:r>
          </w:p>
        </w:tc>
        <w:tc>
          <w:tcPr>
            <w:tcW w:type="dxa" w:w="4360"/>
            <w:tcBorders>
              <w:top w:val="single" w:color="DDDDDD" w:sz="6"/>
              <w:left w:val="single" w:color="DDDDDD" w:sz="6"/>
              <w:bottom w:val="single" w:color="DDDDDD" w:sz="6"/>
              <w:right w:val="single" w:color="DDDDDD" w:sz="6"/>
            </w:tcBorders>
            <w:shd w:fill="F7F8FC" w:val="clear"/>
            <w:tcMar>
              <w:top w:type="dxa" w:w="80"/>
              <w:left w:type="dxa" w:w="120"/>
              <w:bottom w:type="dxa" w:w="80"/>
              <w:right w:type="dxa" w:w="120"/>
            </w:tcMar>
          </w:tcPr>
          <w:p>
            <w:r>
              <w:rPr>
                <w:rFonts w:ascii="Arial" w:cs="Arial" w:eastAsia="Arial" w:hAnsi="Arial"/>
                <w:b w:val="false"/>
                <w:bCs w:val="false"/>
                <w:color w:val="1C1C2E"/>
                <w:sz w:val="18"/>
                <w:szCs w:val="18"/>
              </w:rPr>
              <w:t xml:space="preserve">No-Show Handler Agent</w:t>
            </w:r>
          </w:p>
        </w:tc>
      </w:tr>
      <w:tr>
        <w:trPr>
          <w:tblHeader w:val="false"/>
        </w:trPr>
        <w:tc>
          <w:tcPr>
            <w:tcW w:type="dxa" w:w="3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POST /webhooks/smartlead/reply?client_id=X</w:t>
            </w:r>
          </w:p>
        </w:tc>
        <w:tc>
          <w:tcPr>
            <w:tcW w:type="dxa" w:w="18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Smartlead</w:t>
            </w:r>
          </w:p>
        </w:tc>
        <w:tc>
          <w:tcPr>
            <w:tcW w:type="dxa" w:w="43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120"/>
            </w:tcMar>
          </w:tcPr>
          <w:p>
            <w:r>
              <w:rPr>
                <w:rFonts w:ascii="Arial" w:cs="Arial" w:eastAsia="Arial" w:hAnsi="Arial"/>
                <w:b w:val="false"/>
                <w:bCs w:val="false"/>
                <w:color w:val="1C1C2E"/>
                <w:sz w:val="18"/>
                <w:szCs w:val="18"/>
              </w:rPr>
              <w:t xml:space="preserve">Reply Handler Agent (optional email path)</w:t>
            </w:r>
          </w:p>
        </w:tc>
      </w:tr>
    </w:tbl>
    <w:p>
      <w:pPr>
        <w:spacing w:after="160"/>
      </w:pPr>
      <w:r>
        <w:t xml:space="preserve"/>
      </w:r>
    </w:p>
    <w:p>
      <w:pPr>
        <w:pStyle w:val="Heading1"/>
        <w:shd w:fill="0D1B2A" w:val="clear"/>
        <w:spacing w:after="240" w:before="480"/>
        <w:ind w:left="200" w:right="200"/>
      </w:pPr>
      <w:r>
        <w:rPr>
          <w:rFonts w:ascii="Arial" w:cs="Arial" w:eastAsia="Arial" w:hAnsi="Arial"/>
          <w:b/>
          <w:bCs/>
          <w:color w:val="FFFFFF"/>
          <w:sz w:val="34"/>
          <w:szCs w:val="34"/>
        </w:rPr>
        <w:t xml:space="preserve">Appendix C — VPS File Structure</w:t>
      </w:r>
    </w:p>
    <w:p>
      <w:pPr>
        <w:spacing w:after="80"/>
      </w:pPr>
      <w:r>
        <w:t xml:space="preserve"/>
      </w:r>
    </w:p>
    <w:p>
      <w:pPr>
        <w:pBdr>
          <w:left w:val="single" w:color="00B4D8" w:sz="16" w:space="4"/>
        </w:pBdr>
        <w:shd w:fill="EEF2F7" w:val="clear"/>
        <w:spacing w:after="160" w:before="80"/>
        <w:ind w:left="200" w:right="200"/>
      </w:pPr>
      <w:r>
        <w:rPr>
          <w:rFonts w:ascii="Courier New" w:cs="Courier New" w:eastAsia="Courier New" w:hAnsi="Courier New"/>
          <w:color w:val="0D1B2A"/>
          <w:sz w:val="17"/>
          <w:szCs w:val="17"/>
        </w:rPr>
        <w:br/>
        <w:t xml:space="preserve">/opt/klicksmart/
</w:t>
      </w:r>
      <w:r>
        <w:rPr>
          <w:rFonts w:ascii="Courier New" w:cs="Courier New" w:eastAsia="Courier New" w:hAnsi="Courier New"/>
          <w:color w:val="0D1B2A"/>
          <w:sz w:val="17"/>
          <w:szCs w:val="17"/>
        </w:rPr>
        <w:br/>
        <w:t xml:space="preserve">  docker-compose.yml
</w:t>
      </w:r>
      <w:r>
        <w:rPr>
          <w:rFonts w:ascii="Courier New" w:cs="Courier New" w:eastAsia="Courier New" w:hAnsi="Courier New"/>
          <w:color w:val="0D1B2A"/>
          <w:sz w:val="17"/>
          <w:szCs w:val="17"/>
        </w:rPr>
        <w:br/>
        <w:t xml:space="preserve">  .env                            # All secrets — NEVER commit to git
</w:t>
      </w:r>
      <w:r>
        <w:rPr>
          <w:rFonts w:ascii="Courier New" w:cs="Courier New" w:eastAsia="Courier New" w:hAnsi="Courier New"/>
          <w:color w:val="0D1B2A"/>
          <w:sz w:val="17"/>
          <w:szCs w:val="17"/>
        </w:rPr>
        <w:br/>
        <w:t xml:space="preserve">  openclaw/
</w:t>
      </w:r>
      <w:r>
        <w:rPr>
          <w:rFonts w:ascii="Courier New" w:cs="Courier New" w:eastAsia="Courier New" w:hAnsi="Courier New"/>
          <w:color w:val="0D1B2A"/>
          <w:sz w:val="17"/>
          <w:szCs w:val="17"/>
        </w:rPr>
        <w:br/>
        <w:t xml:space="preserve">    Soul.md                       # Agent identity + values
</w:t>
      </w:r>
      <w:r>
        <w:rPr>
          <w:rFonts w:ascii="Courier New" w:cs="Courier New" w:eastAsia="Courier New" w:hAnsi="Courier New"/>
          <w:color w:val="0D1B2A"/>
          <w:sz w:val="17"/>
          <w:szCs w:val="17"/>
        </w:rPr>
        <w:br/>
        <w:t xml:space="preserve">    User.md                       # Dennis + KlickSmart business context
</w:t>
      </w:r>
      <w:r>
        <w:rPr>
          <w:rFonts w:ascii="Courier New" w:cs="Courier New" w:eastAsia="Courier New" w:hAnsi="Courier New"/>
          <w:color w:val="0D1B2A"/>
          <w:sz w:val="17"/>
          <w:szCs w:val="17"/>
        </w:rPr>
        <w:br/>
        <w:t xml:space="preserve">    HEARTBEAT.md                  # Full cron schedule
</w:t>
      </w:r>
      <w:r>
        <w:rPr>
          <w:rFonts w:ascii="Courier New" w:cs="Courier New" w:eastAsia="Courier New" w:hAnsi="Courier New"/>
          <w:color w:val="0D1B2A"/>
          <w:sz w:val="17"/>
          <w:szCs w:val="17"/>
        </w:rPr>
        <w:br/>
        <w:t xml:space="preserve">    clients/
</w:t>
      </w:r>
      <w:r>
        <w:rPr>
          <w:rFonts w:ascii="Courier New" w:cs="Courier New" w:eastAsia="Courier New" w:hAnsi="Courier New"/>
          <w:color w:val="0D1B2A"/>
          <w:sz w:val="17"/>
          <w:szCs w:val="17"/>
        </w:rPr>
        <w:br/>
        <w:t xml:space="preserve">      torres-plumbing.md          # Client context file
</w:t>
      </w:r>
      <w:r>
        <w:rPr>
          <w:rFonts w:ascii="Courier New" w:cs="Courier New" w:eastAsia="Courier New" w:hAnsi="Courier New"/>
          <w:color w:val="0D1B2A"/>
          <w:sz w:val="17"/>
          <w:szCs w:val="17"/>
        </w:rPr>
        <w:br/>
        <w:t xml:space="preserve">      lee-hvac.md
</w:t>
      </w:r>
      <w:r>
        <w:rPr>
          <w:rFonts w:ascii="Courier New" w:cs="Courier New" w:eastAsia="Courier New" w:hAnsi="Courier New"/>
          <w:color w:val="0D1B2A"/>
          <w:sz w:val="17"/>
          <w:szCs w:val="17"/>
        </w:rPr>
        <w:br/>
        <w:t xml:space="preserve">      [one file per client]
</w:t>
      </w:r>
      <w:r>
        <w:rPr>
          <w:rFonts w:ascii="Courier New" w:cs="Courier New" w:eastAsia="Courier New" w:hAnsi="Courier New"/>
          <w:color w:val="0D1B2A"/>
          <w:sz w:val="17"/>
          <w:szCs w:val="17"/>
        </w:rPr>
        <w:br/>
        <w:t xml:space="preserve">    skills/
</w:t>
      </w:r>
      <w:r>
        <w:rPr>
          <w:rFonts w:ascii="Courier New" w:cs="Courier New" w:eastAsia="Courier New" w:hAnsi="Courier New"/>
          <w:color w:val="0D1B2A"/>
          <w:sz w:val="17"/>
          <w:szCs w:val="17"/>
        </w:rPr>
        <w:br/>
        <w:t xml:space="preserve">      lead-ingestion/SKILL.md
</w:t>
      </w:r>
      <w:r>
        <w:rPr>
          <w:rFonts w:ascii="Courier New" w:cs="Courier New" w:eastAsia="Courier New" w:hAnsi="Courier New"/>
          <w:color w:val="0D1B2A"/>
          <w:sz w:val="17"/>
          <w:szCs w:val="17"/>
        </w:rPr>
        <w:br/>
        <w:t xml:space="preserve">      sms-opener/SKILL.md
</w:t>
      </w:r>
      <w:r>
        <w:rPr>
          <w:rFonts w:ascii="Courier New" w:cs="Courier New" w:eastAsia="Courier New" w:hAnsi="Courier New"/>
          <w:color w:val="0D1B2A"/>
          <w:sz w:val="17"/>
          <w:szCs w:val="17"/>
        </w:rPr>
        <w:br/>
        <w:t xml:space="preserve">      sms-classifier/SKILL.md
</w:t>
      </w:r>
      <w:r>
        <w:rPr>
          <w:rFonts w:ascii="Courier New" w:cs="Courier New" w:eastAsia="Courier New" w:hAnsi="Courier New"/>
          <w:color w:val="0D1B2A"/>
          <w:sz w:val="17"/>
          <w:szCs w:val="17"/>
        </w:rPr>
        <w:br/>
        <w:t xml:space="preserve">      sms-responder/SKILL.md
</w:t>
      </w:r>
      <w:r>
        <w:rPr>
          <w:rFonts w:ascii="Courier New" w:cs="Courier New" w:eastAsia="Courier New" w:hAnsi="Courier New"/>
          <w:color w:val="0D1B2A"/>
          <w:sz w:val="17"/>
          <w:szCs w:val="17"/>
        </w:rPr>
        <w:br/>
        <w:t xml:space="preserve">      morning-report/SKILL.md
</w:t>
      </w:r>
      <w:r>
        <w:rPr>
          <w:rFonts w:ascii="Courier New" w:cs="Courier New" w:eastAsia="Courier New" w:hAnsi="Courier New"/>
          <w:color w:val="0D1B2A"/>
          <w:sz w:val="17"/>
          <w:szCs w:val="17"/>
        </w:rPr>
        <w:br/>
        <w:t xml:space="preserve">      [one folder per agent]
</w:t>
      </w:r>
      <w:r>
        <w:rPr>
          <w:rFonts w:ascii="Courier New" w:cs="Courier New" w:eastAsia="Courier New" w:hAnsi="Courier New"/>
          <w:color w:val="0D1B2A"/>
          <w:sz w:val="17"/>
          <w:szCs w:val="17"/>
        </w:rPr>
        <w:br/>
        <w:t xml:space="preserve">  insforge/
</w:t>
      </w:r>
      <w:r>
        <w:rPr>
          <w:rFonts w:ascii="Courier New" w:cs="Courier New" w:eastAsia="Courier New" w:hAnsi="Courier New"/>
          <w:color w:val="0D1B2A"/>
          <w:sz w:val="17"/>
          <w:szCs w:val="17"/>
        </w:rPr>
        <w:br/>
        <w:t xml:space="preserve">    migrations/001_clients.sql
</w:t>
      </w:r>
      <w:r>
        <w:rPr>
          <w:rFonts w:ascii="Courier New" w:cs="Courier New" w:eastAsia="Courier New" w:hAnsi="Courier New"/>
          <w:color w:val="0D1B2A"/>
          <w:sz w:val="17"/>
          <w:szCs w:val="17"/>
        </w:rPr>
        <w:br/>
        <w:t xml:space="preserve">    migrations/002_agent_log.sql
</w:t>
      </w:r>
      <w:r>
        <w:rPr>
          <w:rFonts w:ascii="Courier New" w:cs="Courier New" w:eastAsia="Courier New" w:hAnsi="Courier New"/>
          <w:color w:val="0D1B2A"/>
          <w:sz w:val="17"/>
          <w:szCs w:val="17"/>
        </w:rPr>
        <w:br/>
        <w:t xml:space="preserve">    migrations/003_agency_metrics.sql
</w:t>
      </w:r>
      <w:r>
        <w:rPr>
          <w:rFonts w:ascii="Courier New" w:cs="Courier New" w:eastAsia="Courier New" w:hAnsi="Courier New"/>
          <w:color w:val="0D1B2A"/>
          <w:sz w:val="17"/>
          <w:szCs w:val="17"/>
        </w:rPr>
        <w:br/>
        <w:t xml:space="preserve">  supabase-template/
</w:t>
      </w:r>
      <w:r>
        <w:rPr>
          <w:rFonts w:ascii="Courier New" w:cs="Courier New" w:eastAsia="Courier New" w:hAnsi="Courier New"/>
          <w:color w:val="0D1B2A"/>
          <w:sz w:val="17"/>
          <w:szCs w:val="17"/>
        </w:rPr>
        <w:br/>
        <w:t xml:space="preserve">    migrations/001_leads.sql      # Applied to EVERY new client project
</w:t>
      </w:r>
      <w:r>
        <w:rPr>
          <w:rFonts w:ascii="Courier New" w:cs="Courier New" w:eastAsia="Courier New" w:hAnsi="Courier New"/>
          <w:color w:val="0D1B2A"/>
          <w:sz w:val="17"/>
          <w:szCs w:val="17"/>
        </w:rPr>
        <w:br/>
        <w:t xml:space="preserve">    migrations/002_sms_threads.sql
</w:t>
      </w:r>
      <w:r>
        <w:rPr>
          <w:rFonts w:ascii="Courier New" w:cs="Courier New" w:eastAsia="Courier New" w:hAnsi="Courier New"/>
          <w:color w:val="0D1B2A"/>
          <w:sz w:val="17"/>
          <w:szCs w:val="17"/>
        </w:rPr>
        <w:br/>
        <w:t xml:space="preserve">    migrations/003_appointments.sql
</w:t>
      </w:r>
      <w:r>
        <w:rPr>
          <w:rFonts w:ascii="Courier New" w:cs="Courier New" w:eastAsia="Courier New" w:hAnsi="Courier New"/>
          <w:color w:val="0D1B2A"/>
          <w:sz w:val="17"/>
          <w:szCs w:val="17"/>
        </w:rPr>
        <w:br/>
        <w:t xml:space="preserve">    migrations/004_activities.sql
</w:t>
      </w:r>
      <w:r>
        <w:rPr>
          <w:rFonts w:ascii="Courier New" w:cs="Courier New" w:eastAsia="Courier New" w:hAnsi="Courier New"/>
          <w:color w:val="0D1B2A"/>
          <w:sz w:val="17"/>
          <w:szCs w:val="17"/>
        </w:rPr>
        <w:br/>
        <w:t xml:space="preserve">  webhook-receiver/
</w:t>
      </w:r>
      <w:r>
        <w:rPr>
          <w:rFonts w:ascii="Courier New" w:cs="Courier New" w:eastAsia="Courier New" w:hAnsi="Courier New"/>
          <w:color w:val="0D1B2A"/>
          <w:sz w:val="17"/>
          <w:szCs w:val="17"/>
        </w:rPr>
        <w:br/>
        <w:t xml:space="preserve">    index.js                      # Express app receiving Twilio + Cal.com events
</w:t>
      </w:r>
      <w:r>
        <w:rPr>
          <w:rFonts w:ascii="Courier New" w:cs="Courier New" w:eastAsia="Courier New" w:hAnsi="Courier New"/>
          <w:color w:val="0D1B2A"/>
          <w:sz w:val="17"/>
          <w:szCs w:val="17"/>
        </w:rPr>
        <w:br/>
        <w:t xml:space="preserve">    routes/twilio.js
</w:t>
      </w:r>
      <w:r>
        <w:rPr>
          <w:rFonts w:ascii="Courier New" w:cs="Courier New" w:eastAsia="Courier New" w:hAnsi="Courier New"/>
          <w:color w:val="0D1B2A"/>
          <w:sz w:val="17"/>
          <w:szCs w:val="17"/>
        </w:rPr>
        <w:br/>
        <w:t xml:space="preserve">    routes/cal.js
</w:t>
      </w:r>
      <w:r>
        <w:rPr>
          <w:rFonts w:ascii="Courier New" w:cs="Courier New" w:eastAsia="Courier New" w:hAnsi="Courier New"/>
          <w:color w:val="0D1B2A"/>
          <w:sz w:val="17"/>
          <w:szCs w:val="17"/>
        </w:rPr>
        <w:br/>
        <w:t xml:space="preserve">  crm-frontend/
</w:t>
      </w:r>
      <w:r>
        <w:rPr>
          <w:rFonts w:ascii="Courier New" w:cs="Courier New" w:eastAsia="Courier New" w:hAnsi="Courier New"/>
          <w:color w:val="0D1B2A"/>
          <w:sz w:val="17"/>
          <w:szCs w:val="17"/>
        </w:rPr>
        <w:br/>
        <w:t xml:space="preserve">    index.html                    # Full SPA
</w:t>
      </w:r>
      <w:r>
        <w:rPr>
          <w:rFonts w:ascii="Courier New" w:cs="Courier New" w:eastAsia="Courier New" w:hAnsi="Courier New"/>
          <w:color w:val="0D1B2A"/>
          <w:sz w:val="17"/>
          <w:szCs w:val="17"/>
        </w:rPr>
        <w:br/>
        <w:t xml:space="preserve">    nginx.conf
</w:t>
      </w:r>
      <w:r>
        <w:rPr>
          <w:rFonts w:ascii="Courier New" w:cs="Courier New" w:eastAsia="Courier New" w:hAnsi="Courier New"/>
          <w:color w:val="0D1B2A"/>
          <w:sz w:val="17"/>
          <w:szCs w:val="17"/>
        </w:rPr>
        <w:br/>
        <w:t xml:space="preserve">  gws/
</w:t>
      </w:r>
      <w:r>
        <w:rPr>
          <w:rFonts w:ascii="Courier New" w:cs="Courier New" w:eastAsia="Courier New" w:hAnsi="Courier New"/>
          <w:color w:val="0D1B2A"/>
          <w:sz w:val="17"/>
          <w:szCs w:val="17"/>
        </w:rPr>
        <w:t xml:space="preserve">    client_secret.json            # Google OAuth — NEVER commit</w:t>
      </w:r>
    </w:p>
    <w:p>
      <w:pPr>
        <w:spacing w:after="160"/>
      </w:pPr>
      <w:r>
        <w:t xml:space="preserve"/>
      </w:r>
    </w:p>
    <w:p>
      <w:pPr>
        <w:pStyle w:val="Heading1"/>
        <w:shd w:fill="0D1B2A" w:val="clear"/>
        <w:spacing w:after="240" w:before="480"/>
        <w:ind w:left="200" w:right="200"/>
      </w:pPr>
      <w:r>
        <w:rPr>
          <w:rFonts w:ascii="Arial" w:cs="Arial" w:eastAsia="Arial" w:hAnsi="Arial"/>
          <w:b/>
          <w:bCs/>
          <w:color w:val="FFFFFF"/>
          <w:sz w:val="34"/>
          <w:szCs w:val="34"/>
        </w:rPr>
        <w:t xml:space="preserve">Appendix D — Vertical Expansion Playbook</w:t>
      </w:r>
    </w:p>
    <w:p>
      <w:pPr>
        <w:spacing w:after="80"/>
      </w:pPr>
      <w:r>
        <w:t xml:space="preserve"/>
      </w:r>
    </w:p>
    <w:p>
      <w:pPr>
        <w:spacing w:after="160"/>
      </w:pPr>
      <w:r>
        <w:rPr>
          <w:rFonts w:ascii="Arial" w:cs="Arial" w:eastAsia="Arial" w:hAnsi="Arial"/>
          <w:color w:val="1C1C2E"/>
          <w:sz w:val="20"/>
          <w:szCs w:val="20"/>
        </w:rPr>
        <w:t xml:space="preserve">Adding a new vertical (e.g. electricians, landscapers) requires only three things:</w:t>
      </w:r>
    </w:p>
    <w:p>
      <w:pPr>
        <w:pStyle w:val="ListParagraph"/>
        <w:numPr>
          <w:ilvl w:val="0"/>
          <w:numId w:val="2"/>
        </w:numPr>
        <w:spacing w:after="80"/>
      </w:pPr>
      <w:r>
        <w:rPr>
          <w:rFonts w:ascii="Arial" w:cs="Arial" w:eastAsia="Arial" w:hAnsi="Arial"/>
          <w:color w:val="1C1C2E"/>
          <w:sz w:val="20"/>
          <w:szCs w:val="20"/>
        </w:rPr>
        <w:t xml:space="preserve">Update Lead Sniper to scrape the new vertical in the target service area</w:t>
      </w:r>
    </w:p>
    <w:p>
      <w:pPr>
        <w:pStyle w:val="ListParagraph"/>
        <w:numPr>
          <w:ilvl w:val="0"/>
          <w:numId w:val="2"/>
        </w:numPr>
        <w:spacing w:after="80"/>
      </w:pPr>
      <w:r>
        <w:rPr>
          <w:rFonts w:ascii="Arial" w:cs="Arial" w:eastAsia="Arial" w:hAnsi="Arial"/>
          <w:color w:val="1C1C2E"/>
          <w:sz w:val="20"/>
          <w:szCs w:val="20"/>
        </w:rPr>
        <w:t xml:space="preserve">Create a vertical-specific context file referenced by SMS Opener Agent for industry-specific pain points and hooks</w:t>
      </w:r>
    </w:p>
    <w:p>
      <w:pPr>
        <w:pStyle w:val="ListParagraph"/>
        <w:numPr>
          <w:ilvl w:val="0"/>
          <w:numId w:val="2"/>
        </w:numPr>
        <w:spacing w:after="80"/>
      </w:pPr>
      <w:r>
        <w:rPr>
          <w:rFonts w:ascii="Arial" w:cs="Arial" w:eastAsia="Arial" w:hAnsi="Arial"/>
          <w:color w:val="1C1C2E"/>
          <w:sz w:val="20"/>
          <w:szCs w:val="20"/>
        </w:rPr>
        <w:t xml:space="preserve">Register a new Twilio 10DLC campaign for the vertical (if the messaging angle differs from plumbing/HVAC)</w:t>
      </w:r>
    </w:p>
    <w:p>
      <w:pPr>
        <w:spacing w:after="80"/>
      </w:pPr>
      <w:r>
        <w:t xml:space="preserve"/>
      </w:r>
    </w:p>
    <w:p>
      <w:pPr>
        <w:spacing w:after="160"/>
      </w:pPr>
      <w:r>
        <w:rPr>
          <w:rFonts w:ascii="Arial" w:cs="Arial" w:eastAsia="Arial" w:hAnsi="Arial"/>
          <w:color w:val="1C1C2E"/>
          <w:sz w:val="20"/>
          <w:szCs w:val="20"/>
        </w:rPr>
        <w:t xml:space="preserve">No backend changes. No new agents. No new database tables. The architecture is vertical-agnostic by design.</w:t>
      </w:r>
    </w:p>
    <w:p>
      <w:pPr>
        <w:spacing w:after="160"/>
      </w:pPr>
      <w:r>
        <w:t xml:space="preserve"/>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D8" w:sz="4" w:space="1"/>
      </w:pBdr>
      <w:tabs>
        <w:tab w:val="right" w:pos="9026"/>
      </w:tabs>
    </w:pPr>
    <w:r>
      <w:rPr>
        <w:rFonts w:ascii="Arial" w:cs="Arial" w:eastAsia="Arial" w:hAnsi="Arial"/>
        <w:color w:val="4A5568"/>
        <w:sz w:val="16"/>
        <w:szCs w:val="16"/>
      </w:rPr>
      <w:t xml:space="preserve">v2.0  ·  March 2026  ·  Vancouver, BC</w:t>
    </w:r>
    <w:r>
      <w:rPr>
        <w:sz w:val="16"/>
        <w:szCs w:val="16"/>
      </w:rPr>
      <w:t xml:space="preserve">	</w:t>
    </w: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4" w:space="1"/>
      </w:pBdr>
      <w:tabs>
        <w:tab w:val="right" w:pos="9026"/>
      </w:tabs>
    </w:pPr>
    <w:r>
      <w:rPr>
        <w:rFonts w:ascii="Arial" w:cs="Arial" w:eastAsia="Arial" w:hAnsi="Arial"/>
        <w:color w:val="4A5568"/>
        <w:sz w:val="16"/>
        <w:szCs w:val="16"/>
      </w:rPr>
      <w:t xml:space="preserve">AI Revenue Engine™  ·  KlickSmart AI</w:t>
    </w:r>
    <w:r>
      <w:rPr>
        <w:sz w:val="16"/>
        <w:szCs w:val="16"/>
      </w:rPr>
      <w:t xml:space="preserve">	</w:t>
    </w:r>
    <w:r>
      <w:rPr>
        <w:rFonts w:ascii="Arial" w:cs="Arial" w:eastAsia="Arial" w:hAnsi="Arial"/>
        <w:b/>
        <w:bCs/>
        <w:color w:val="E84545"/>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FFFFFF"/>
      <w:sz w:val="34"/>
      <w:szCs w:val="34"/>
    </w:rPr>
  </w:style>
  <w:style w:type="paragraph" w:styleId="Heading2">
    <w:name w:val="Heading 2"/>
    <w:basedOn w:val="Normal"/>
    <w:next w:val="Normal"/>
    <w:qFormat/>
    <w:pPr>
      <w:spacing w:after="160" w:before="360"/>
      <w:outlineLvl w:val="1"/>
    </w:pPr>
    <w:rPr>
      <w:rFonts w:ascii="Arial" w:cs="Arial" w:eastAsia="Arial" w:hAnsi="Arial"/>
      <w:b/>
      <w:bCs/>
      <w:color w:val="1B4F72"/>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2026-03-21T06:15:52.127Z</dcterms:created>
  <dcterms:modified xsi:type="dcterms:W3CDTF">2026-03-21T06:15:52.128Z</dcterms:modified>
</cp:coreProperties>
</file>

<file path=docProps/custom.xml><?xml version="1.0" encoding="utf-8"?>
<Properties xmlns="http://schemas.openxmlformats.org/officeDocument/2006/custom-properties" xmlns:vt="http://schemas.openxmlformats.org/officeDocument/2006/docPropsVTypes"/>
</file>