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вероятностные алгоритмы проверки чисел на простоту.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- целое число. Числа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±</m:t>
        </m:r>
        <m:r>
          <m:t>a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bCs/>
          <w:b/>
        </w:rPr>
        <w:t xml:space="preserve">тривиальными делителями</w:t>
      </w:r>
      <w:r>
        <w:t xml:space="preserve"> </w:t>
      </w:r>
      <w:r>
        <w:t xml:space="preserve">числа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Z</m:t>
        </m:r>
        <m:r>
          <m:rPr>
            <m:sty m:val="p"/>
          </m:rPr>
          <m:t>/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простым</w:t>
      </w:r>
      <w:r>
        <w:t xml:space="preserve">, если оно не является делителем единицы и не имеет других делителей, кроме тривиальных. В противном случае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Z</m:t>
        </m:r>
        <m:r>
          <m:rPr>
            <m:sty m:val="p"/>
          </m:rPr>
          <m:t>/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составным</w:t>
      </w:r>
      <w:r>
        <w:t xml:space="preserve">.</w:t>
      </w:r>
    </w:p>
    <w:p>
      <w:pPr>
        <w:pStyle w:val="BodyText"/>
      </w:pPr>
      <w:r>
        <w:t xml:space="preserve">Алгоритмы проверки на простоту можно разделить на вероятностные и детерминированные.</w:t>
      </w:r>
    </w:p>
    <w:p>
      <w:pPr>
        <w:pStyle w:val="BodyText"/>
      </w:pPr>
      <w:r>
        <w:rPr>
          <w:bCs/>
          <w:b/>
        </w:rPr>
        <w:t xml:space="preserve">Детерминированный</w:t>
      </w:r>
      <w:r>
        <w:t xml:space="preserve"> </w:t>
      </w:r>
      <w:r>
        <w:t xml:space="preserve">алгоритм всегда действует по одной и той же схеме и гарантированно решает поставленную задачу (или не дает никакого ответа).</w:t>
      </w:r>
      <w:r>
        <w:t xml:space="preserve"> </w:t>
      </w:r>
      <w:r>
        <w:rPr>
          <w:bCs/>
          <w:b/>
        </w:rPr>
        <w:t xml:space="preserve">Вероятностный</w:t>
      </w:r>
      <w:r>
        <w:t xml:space="preserve"> </w:t>
      </w:r>
      <w:r>
        <w:t xml:space="preserve">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 данных, то вероятностный алгоритм становится детерминированным).</w:t>
      </w:r>
    </w:p>
    <w:p>
      <w:pPr>
        <w:pStyle w:val="BodyText"/>
      </w:pPr>
      <w:r>
        <w:t xml:space="preserve">Для проверки на простоту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вероятностным алгоритмом выбирают случайное число</w:t>
      </w:r>
      <w:r>
        <w:t xml:space="preserve"> </w:t>
      </w:r>
      <m:oMath>
        <m:r>
          <m:t>a</m:t>
        </m:r>
        <m:r>
          <m:t> 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&lt;</m:t>
            </m:r>
            <m:r>
              <m:t>a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  <w:r>
        <w:t xml:space="preserve"> </w:t>
      </w:r>
      <w:r>
        <w:t xml:space="preserve">и проверяют условия алгоритма. Если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 проходит тест по основанию</w:t>
      </w:r>
      <w:r>
        <w:t xml:space="preserve"> </w:t>
      </w:r>
      <m:oMath>
        <m:r>
          <m:t>a</m:t>
        </m:r>
      </m:oMath>
      <w:r>
        <w:t xml:space="preserve">, то алгоритм выдает результат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, 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действительно является составным.</w:t>
      </w:r>
    </w:p>
    <w:p>
      <w:pPr>
        <w:pStyle w:val="BodyText"/>
      </w:pPr>
      <w:r>
        <w:t xml:space="preserve">Если же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проходит тест по основанию</w:t>
      </w:r>
      <w:r>
        <w:t xml:space="preserve"> </w:t>
      </w:r>
      <m:oMath>
        <m:r>
          <m:t>a</m:t>
        </m:r>
      </m:oMath>
      <w:r>
        <w:t xml:space="preserve">, ничего нельзя сказать о том, действительно 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простым. Последовательно проведя ряд проверок таким тестом для разных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получив для каждого из них ответ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вероятно, простое</w:t>
      </w:r>
      <w:r>
        <w:t xml:space="preserve">”</w:t>
      </w:r>
      <w:r>
        <w:t xml:space="preserve">, можно утверждать, что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 с вероятностью, близкой к 1. При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независимых выполнений теста вероятность того, что составное число</w:t>
      </w:r>
      <w:r>
        <w:t xml:space="preserve"> </w:t>
      </w:r>
      <m:oMath>
        <m:r>
          <m:t>n</m:t>
        </m:r>
        <m:r>
          <m:t> </m:t>
        </m:r>
      </m:oMath>
      <w:r>
        <w:t xml:space="preserve"> </w:t>
      </w:r>
      <w:r>
        <w:t xml:space="preserve">будет</w:t>
      </w:r>
      <w:r>
        <w:t xml:space="preserve"> </w:t>
      </w:r>
      <m:oMath>
        <m:r>
          <m:t> </m:t>
        </m:r>
        <m:r>
          <m:t>t</m:t>
        </m:r>
        <m:r>
          <m:t> </m:t>
        </m:r>
      </m:oMath>
      <w:r>
        <w:t xml:space="preserve"> </w:t>
      </w:r>
      <w:r>
        <w:t xml:space="preserve">раз объявлено простым (вероятность ошибки), не превосходит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t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,</w:t>
      </w:r>
      <w:r>
        <w:t xml:space="preserve"> </w:t>
      </w:r>
      <w:r>
        <w:t xml:space="preserve">[3]</w:t>
      </w:r>
      <w:r>
        <w:t xml:space="preserve">,</w:t>
      </w:r>
      <w:r>
        <w:t xml:space="preserve"> </w:t>
      </w:r>
      <w:r>
        <w:t xml:space="preserve">[4]</w:t>
      </w:r>
      <w:r>
        <w:t xml:space="preserve">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Тест Ферма реализуем по следующей схеме:</w:t>
      </w:r>
    </w:p>
    <w:p>
      <w:pPr>
        <w:pStyle w:val="BodyText"/>
      </w:pPr>
      <w:r>
        <w:t xml:space="preserve">На вход подается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 </m:t>
        </m:r>
      </m:oMath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вероятно, простое</w:t>
      </w:r>
      <w:r>
        <w:t xml:space="preserve">”</w:t>
      </w:r>
      <w:r>
        <w:t xml:space="preserve">. В противном случае 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2373033"/>
            <wp:effectExtent b="0" l="0" r="0" t="0"/>
            <wp:docPr descr="Рис. 1: Тест Ферма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Тест Ферма</w:t>
      </w:r>
    </w:p>
    <w:p>
      <w:pPr>
        <w:pStyle w:val="BodyText"/>
      </w:pPr>
      <w:r>
        <w:t xml:space="preserve">Вычисление символа Якоби реализуем по следующей схеме:</w:t>
      </w:r>
    </w:p>
    <w:p>
      <w:pPr>
        <w:pStyle w:val="BodyText"/>
      </w:pPr>
      <w:r>
        <w:t xml:space="preserve">На вход подаются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</m:oMath>
      <w:r>
        <w:t xml:space="preserve"> </w:t>
      </w:r>
      <w:r>
        <w:t xml:space="preserve">и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результат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где число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нечетное.</w:t>
      </w:r>
    </w:p>
    <w:p>
      <w:pPr>
        <w:numPr>
          <w:ilvl w:val="0"/>
          <w:numId w:val="1002"/>
        </w:numPr>
      </w:pPr>
      <w:r>
        <w:t xml:space="preserve">При четном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при нечетном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8</m:t>
            </m:r>
          </m:e>
        </m:d>
      </m:oMath>
      <w:r>
        <w:t xml:space="preserve">; 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8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g</m:t>
        </m:r>
        <m:r>
          <m:t>s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4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≡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4</m:t>
            </m:r>
          </m:e>
        </m:d>
      </m:oMath>
      <w:r>
        <w:t xml:space="preserve">, то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s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t>n</m:t>
        </m:r>
        <m:r>
          <m:rPr>
            <m:sty m:val="p"/>
          </m:rPr>
          <m:t>←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g</m:t>
        </m:r>
        <m:r>
          <m:t>s</m:t>
        </m:r>
      </m:oMath>
      <w:r>
        <w:t xml:space="preserve"> </w:t>
      </w:r>
      <w:r>
        <w:t xml:space="preserve">и вернуться на шаг 2.</w:t>
      </w:r>
    </w:p>
    <w:p>
      <w:pPr>
        <w:pStyle w:val="FirstParagraph"/>
      </w:pPr>
      <w:r>
        <w:t xml:space="preserve">Код программы (рис. 2).</w:t>
      </w:r>
    </w:p>
    <w:p>
      <w:pPr>
        <w:pStyle w:val="CaptionedFigure"/>
      </w:pPr>
      <w:bookmarkStart w:id="29" w:name="fig:002"/>
      <w:r>
        <w:drawing>
          <wp:inline>
            <wp:extent cx="5334000" cy="6773947"/>
            <wp:effectExtent b="0" l="0" r="0" t="0"/>
            <wp:docPr descr="Рис. 2: Вычисление символа Якоби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Вычисление символа Якоби</w:t>
      </w:r>
    </w:p>
    <w:p>
      <w:pPr>
        <w:pStyle w:val="BodyText"/>
      </w:pPr>
      <w:r>
        <w:t xml:space="preserve">Тест Соловэя-Штрассена реализуем по следующей схеме:</w:t>
      </w:r>
    </w:p>
    <w:p>
      <w:pPr>
        <w:pStyle w:val="BodyText"/>
      </w:pPr>
      <w:r>
        <w:t xml:space="preserve">На вход подается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 </m:t>
        </m:r>
      </m:oMath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≡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. В противном случае 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вероятно, простое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Код программы (рис. 3).</w:t>
      </w:r>
    </w:p>
    <w:p>
      <w:pPr>
        <w:pStyle w:val="CaptionedFigure"/>
      </w:pPr>
      <w:bookmarkStart w:id="33" w:name="fig:003"/>
      <w:r>
        <w:drawing>
          <wp:inline>
            <wp:extent cx="5334000" cy="2220865"/>
            <wp:effectExtent b="0" l="0" r="0" t="0"/>
            <wp:docPr descr="Рис. 3: Тест Соловэя-Штрассена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Тест Соловэя-Штрассена</w:t>
      </w:r>
    </w:p>
    <w:p>
      <w:pPr>
        <w:pStyle w:val="BodyText"/>
      </w:pPr>
      <w:r>
        <w:t xml:space="preserve">Тест Миллера-Рабина реализуем по следующей схеме:</w:t>
      </w:r>
    </w:p>
    <w:p>
      <w:pPr>
        <w:pStyle w:val="BodyText"/>
      </w:pPr>
      <w:r>
        <w:t xml:space="preserve">На вход подается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нечетное.</w:t>
      </w:r>
    </w:p>
    <w:p>
      <w:pPr>
        <w:numPr>
          <w:ilvl w:val="0"/>
          <w:numId w:val="1004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 </m:t>
        </m:r>
      </m:oMath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следующие действия.</w:t>
      </w:r>
    </w:p>
    <w:p>
      <w:pPr>
        <w:pStyle w:val="FirstParagraph"/>
      </w:pPr>
      <w:r>
        <w:t xml:space="preserve">4.1. 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4.2. 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то</w:t>
      </w:r>
    </w:p>
    <w:p>
      <w:pPr>
        <w:pStyle w:val="BodyText"/>
      </w:pPr>
      <w:r>
        <w:t xml:space="preserve">4.2.1. Положить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4.2.2. 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4.2.3. 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j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4.3. 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вероятно, простое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Код программы (рис. 4).</w:t>
      </w:r>
    </w:p>
    <w:p>
      <w:pPr>
        <w:pStyle w:val="CaptionedFigure"/>
      </w:pPr>
      <w:bookmarkStart w:id="37" w:name="fig:004"/>
      <w:r>
        <w:drawing>
          <wp:inline>
            <wp:extent cx="5334000" cy="4676232"/>
            <wp:effectExtent b="0" l="0" r="0" t="0"/>
            <wp:docPr descr="Рис. 4: Тест Миллера-Рабина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Тест Миллера-Рабина</w:t>
      </w:r>
    </w:p>
    <w:p>
      <w:pPr>
        <w:pStyle w:val="BodyText"/>
      </w:pPr>
      <w:r>
        <w:t xml:space="preserve">В итоге были получены следующие результаты (рис. 5) - (рис. 8).</w:t>
      </w:r>
    </w:p>
    <w:p>
      <w:pPr>
        <w:pStyle w:val="CaptionedFigure"/>
      </w:pPr>
      <w:bookmarkStart w:id="41" w:name="fig:005"/>
      <w:r>
        <w:drawing>
          <wp:inline>
            <wp:extent cx="4895850" cy="8610600"/>
            <wp:effectExtent b="0" l="0" r="0" t="0"/>
            <wp:docPr descr="Рис. 5: Результаты выполнения алгоритмов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61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Результаты выполнения алгоритмов</w:t>
      </w:r>
    </w:p>
    <w:p>
      <w:pPr>
        <w:pStyle w:val="CaptionedFigure"/>
      </w:pPr>
      <w:bookmarkStart w:id="45" w:name="fig:006"/>
      <w:r>
        <w:drawing>
          <wp:inline>
            <wp:extent cx="5019675" cy="7953375"/>
            <wp:effectExtent b="0" l="0" r="0" t="0"/>
            <wp:docPr descr="Рис. 6: Результаты выполнения алгоритмов" title="" id="43" name="Picture"/>
            <a:graphic>
              <a:graphicData uri="http://schemas.openxmlformats.org/drawingml/2006/picture">
                <pic:pic>
                  <pic:nvPicPr>
                    <pic:cNvPr descr="image/Pic%2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Результаты выполнения алгоритмов</w:t>
      </w:r>
    </w:p>
    <w:p>
      <w:pPr>
        <w:pStyle w:val="CaptionedFigure"/>
      </w:pPr>
      <w:bookmarkStart w:id="49" w:name="fig:007"/>
      <w:r>
        <w:drawing>
          <wp:inline>
            <wp:extent cx="4867275" cy="7924800"/>
            <wp:effectExtent b="0" l="0" r="0" t="0"/>
            <wp:docPr descr="Рис. 7: Результаты выполнения алгоритмов" title="" id="47" name="Picture"/>
            <a:graphic>
              <a:graphicData uri="http://schemas.openxmlformats.org/drawingml/2006/picture">
                <pic:pic>
                  <pic:nvPicPr>
                    <pic:cNvPr descr="image/Pic%20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Результаты выполнения алгоритмов</w:t>
      </w:r>
    </w:p>
    <w:p>
      <w:pPr>
        <w:pStyle w:val="CaptionedFigure"/>
      </w:pPr>
      <w:bookmarkStart w:id="53" w:name="fig:008"/>
      <w:r>
        <w:drawing>
          <wp:inline>
            <wp:extent cx="4943475" cy="8001000"/>
            <wp:effectExtent b="0" l="0" r="0" t="0"/>
            <wp:docPr descr="Рис. 8: Результаты выполнения алгоритмов" title="" id="51" name="Picture"/>
            <a:graphic>
              <a:graphicData uri="http://schemas.openxmlformats.org/drawingml/2006/picture">
                <pic:pic>
                  <pic:nvPicPr>
                    <pic:cNvPr descr="image/Pic%20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Результаты выполнения алгоритмов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реализованы вероятностные алгоритмы проверки чисел на простоту.</w:t>
      </w:r>
    </w:p>
    <w:bookmarkEnd w:id="55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57" w:name="ref-Fermat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Тест Ферма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6">
        <w:r>
          <w:rPr>
            <w:rStyle w:val="Hyperlink"/>
          </w:rPr>
          <w:t xml:space="preserve">https://ru.wikipedia.org/wiki/%D0%A2%D0%B5%D1%81%D1%82_%D0%A4%D0%B5%D1%80%D0%BC%D0%B0</w:t>
        </w:r>
      </w:hyperlink>
      <w:r>
        <w:t xml:space="preserve">.</w:t>
      </w:r>
    </w:p>
    <w:bookmarkEnd w:id="57"/>
    <w:bookmarkStart w:id="59" w:name="ref-Jacobi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Символ Якоби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8">
        <w:r>
          <w:rPr>
            <w:rStyle w:val="Hyperlink"/>
          </w:rPr>
          <w:t xml:space="preserve">https://en.wikipedia.org/wiki/Jacobi_symbol</w:t>
        </w:r>
      </w:hyperlink>
      <w:r>
        <w:t xml:space="preserve">.</w:t>
      </w:r>
    </w:p>
    <w:bookmarkEnd w:id="59"/>
    <w:bookmarkStart w:id="61" w:name="ref-S_SH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Тест Соловэя-Штрассена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0">
        <w:r>
          <w:rPr>
            <w:rStyle w:val="Hyperlink"/>
          </w:rPr>
          <w:t xml:space="preserve">https://ru.wikipedia.org/wiki/%D0%A2%D0%B5%D1%81%D1%82_%D0%A1%D0%BE%D0%BB%D0%BE%D0%B2%D0%B5%D1%8F_%E2%80%94_%D0%A8%D1%82%D1%80%D0%B0%D1%81%D1%81%D0%B5%D0%BD%D0%B0</w:t>
        </w:r>
      </w:hyperlink>
      <w:r>
        <w:t xml:space="preserve">.</w:t>
      </w:r>
    </w:p>
    <w:bookmarkEnd w:id="61"/>
    <w:bookmarkStart w:id="63" w:name="ref-M_R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Тест Миллера-Рабина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2">
        <w:r>
          <w:rPr>
            <w:rStyle w:val="Hyperlink"/>
          </w:rPr>
          <w:t xml:space="preserve">https://ru.wikipedia.org/wiki/%D0%A2%D0%B5%D1%81%D1%82_%D0%9C%D0%B8%D0%BB%D0%BB%D0%B5%D1%80%D0%B0_(%D1%82%D0%B5%D0%BE%D1%80%D0%B8%D1%8F_%D1%87%D0%B8%D1%81%D0%B5%D0%BB)</w:t>
        </w:r>
      </w:hyperlink>
      <w:r>
        <w:t xml:space="preserve">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hyperlink" Id="rId58" Target="https://en.wikipedia.org/wiki/Jacobi_symbol" TargetMode="External" /><Relationship Type="http://schemas.openxmlformats.org/officeDocument/2006/relationships/hyperlink" Id="rId62" Target="https://ru.wikipedia.org/wiki/%D0%A2%D0%B5%D1%81%D1%82_%D0%9C%D0%B8%D0%BB%D0%BB%D0%B5%D1%80%D0%B0_(%D1%82%D0%B5%D0%BE%D1%80%D0%B8%D1%8F_%D1%87%D0%B8%D1%81%D0%B5%D0%BB)" TargetMode="External" /><Relationship Type="http://schemas.openxmlformats.org/officeDocument/2006/relationships/hyperlink" Id="rId60" Target="https://ru.wikipedia.org/wiki/%D0%A2%D0%B5%D1%81%D1%82_%D0%A1%D0%BE%D0%BB%D0%BE%D0%B2%D0%B5%D1%8F_%E2%80%94_%D0%A8%D1%82%D1%80%D0%B0%D1%81%D1%81%D0%B5%D0%BD%D0%B0" TargetMode="External" /><Relationship Type="http://schemas.openxmlformats.org/officeDocument/2006/relationships/hyperlink" Id="rId56" Target="https://ru.wikipedia.org/wiki/%D0%A2%D0%B5%D1%81%D1%82_%D0%A4%D0%B5%D1%80%D0%BC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n.wikipedia.org/wiki/Jacobi_symbol" TargetMode="External" /><Relationship Type="http://schemas.openxmlformats.org/officeDocument/2006/relationships/hyperlink" Id="rId62" Target="https://ru.wikipedia.org/wiki/%D0%A2%D0%B5%D1%81%D1%82_%D0%9C%D0%B8%D0%BB%D0%BB%D0%B5%D1%80%D0%B0_(%D1%82%D0%B5%D0%BE%D1%80%D0%B8%D1%8F_%D1%87%D0%B8%D1%81%D0%B5%D0%BB)" TargetMode="External" /><Relationship Type="http://schemas.openxmlformats.org/officeDocument/2006/relationships/hyperlink" Id="rId60" Target="https://ru.wikipedia.org/wiki/%D0%A2%D0%B5%D1%81%D1%82_%D0%A1%D0%BE%D0%BB%D0%BE%D0%B2%D0%B5%D1%8F_%E2%80%94_%D0%A8%D1%82%D1%80%D0%B0%D1%81%D1%81%D0%B5%D0%BD%D0%B0" TargetMode="External" /><Relationship Type="http://schemas.openxmlformats.org/officeDocument/2006/relationships/hyperlink" Id="rId56" Target="https://ru.wikipedia.org/wiki/%D0%A2%D0%B5%D1%81%D1%82_%D0%A4%D0%B5%D1%80%D0%BC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Леонтьева Ксения Андреевна | НПМмд-02-23</dc:creator>
  <dc:language>ru-RU</dc:language>
  <cp:keywords/>
  <dcterms:created xsi:type="dcterms:W3CDTF">2023-10-19T14:38:16Z</dcterms:created>
  <dcterms:modified xsi:type="dcterms:W3CDTF">2023-10-19T14:38:16Z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