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Ненулевой вектор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, который при умножении на некоторую квадратную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превращается в самого же себя с числовым коэфиициентом</w:t>
      </w:r>
      <w:r>
        <w:t xml:space="preserve"> </w:t>
      </w:r>
      <m:oMath>
        <m:r>
          <m:t>λ</m:t>
        </m:r>
      </m:oMath>
      <w:r>
        <w:t xml:space="preserve">, называется</w:t>
      </w:r>
      <w:r>
        <w:t xml:space="preserve"> </w:t>
      </w:r>
      <w:r>
        <w:rPr>
          <w:bCs/>
          <w:b/>
        </w:rPr>
        <w:t xml:space="preserve">собственным вектором</w:t>
      </w:r>
      <w:r>
        <w:t xml:space="preserve"> </w:t>
      </w:r>
      <w:r>
        <w:t xml:space="preserve">матрицы</w:t>
      </w:r>
      <w:r>
        <w:t xml:space="preserve"> </w:t>
      </w:r>
      <m:oMath>
        <m:r>
          <m:t>A</m:t>
        </m:r>
      </m:oMath>
      <w:r>
        <w:t xml:space="preserve">. Число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собственным значением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собственным числом</w:t>
      </w:r>
      <w:r>
        <w:t xml:space="preserve"> </w:t>
      </w:r>
      <w:r>
        <w:t xml:space="preserve">данной матрицы.</w:t>
      </w:r>
    </w:p>
    <w:p>
      <w:pPr>
        <w:pStyle w:val="BodyText"/>
      </w:pPr>
      <w:r>
        <w:t xml:space="preserve">Система называется</w:t>
      </w:r>
      <w:r>
        <w:t xml:space="preserve"> </w:t>
      </w:r>
      <w:r>
        <w:rPr>
          <w:bCs/>
          <w:b/>
        </w:rPr>
        <w:t xml:space="preserve">цепью Маркова</w:t>
      </w:r>
      <w:r>
        <w:t xml:space="preserve">, если последовательность случайных событий удовлетворяет следующим условиям:</w:t>
      </w:r>
    </w:p>
    <w:p>
      <w:pPr>
        <w:numPr>
          <w:ilvl w:val="0"/>
          <w:numId w:val="1001"/>
        </w:numPr>
      </w:pPr>
      <w:r>
        <w:t xml:space="preserve">возможно конечное число состояний,</w:t>
      </w:r>
    </w:p>
    <w:p>
      <w:pPr>
        <w:numPr>
          <w:ilvl w:val="0"/>
          <w:numId w:val="1001"/>
        </w:numPr>
      </w:pPr>
      <w:r>
        <w:t xml:space="preserve">через определенные промежутки времени проводится наблюдение и регистрируется состояние системы,</w:t>
      </w:r>
    </w:p>
    <w:p>
      <w:pPr>
        <w:numPr>
          <w:ilvl w:val="0"/>
          <w:numId w:val="1001"/>
        </w:numPr>
      </w:pPr>
      <w:r>
        <w:t xml:space="preserve">для каждого состояния задается вероятность перехода в каждое 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FirstParagraph"/>
      </w:pPr>
      <w:r>
        <w:t xml:space="preserve">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равновесным</w:t>
      </w:r>
      <w:r>
        <w:t xml:space="preserve">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</w:t>
      </w:r>
      <w:r>
        <w:t xml:space="preserve"> </w:t>
      </w:r>
      <m:oMath>
        <m:r>
          <m:t>1</m:t>
        </m:r>
      </m:oMath>
      <w:r>
        <w:t xml:space="preserve">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собственные значения и собственные векторы заданной матрицы (рис. fig. 1).</w:t>
      </w:r>
    </w:p>
    <w:p>
      <w:pPr>
        <w:pStyle w:val="CaptionedFigure"/>
      </w:pPr>
      <w:bookmarkStart w:id="25" w:name="fig:001"/>
      <w:r>
        <w:drawing>
          <wp:inline>
            <wp:extent cx="5334000" cy="2607864"/>
            <wp:effectExtent b="0" l="0" r="0" t="0"/>
            <wp:docPr descr="Рис. 1: Нахождение собственных значений и векторов матрицы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Нахождение собственных значений и векторов матрицы</w:t>
      </w:r>
    </w:p>
    <w:p>
      <w:pPr>
        <w:pStyle w:val="BodyText"/>
      </w:pPr>
      <w:r>
        <w:t xml:space="preserve">Получим матрицу с действительными собственными значениями, создав симметричную матрицу путем умножения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транспонированную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(рис. fig. 2).</w:t>
      </w:r>
    </w:p>
    <w:p>
      <w:pPr>
        <w:pStyle w:val="CaptionedFigure"/>
      </w:pPr>
      <w:bookmarkStart w:id="29" w:name="fig:002"/>
      <w:r>
        <w:drawing>
          <wp:inline>
            <wp:extent cx="5334000" cy="3727468"/>
            <wp:effectExtent b="0" l="0" r="0" t="0"/>
            <wp:docPr descr="Рис. 2: Получение матрицы с действительными собственными значениями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Получение матрицы с действительными собственными значениями</w:t>
      </w:r>
    </w:p>
    <w:p>
      <w:pPr>
        <w:pStyle w:val="BodyText"/>
      </w:pPr>
      <w:r>
        <w:t xml:space="preserve">Допустим, что мы случайным образом передвигаемся следующим образом. В состояниях 2, 3 или 4 мы перемещаемся влево или вправо наугад. При достижении конца дороги (состояния 1 или 5) мы останавливаемся. Наша цель - предсказать, где мы окажемся. Для примера случайного блуждания находим вектор вероятности после 5 шагов для каждого из заданных начальных векторов вероятности. Сначала сформируем матрицу переходов. Вероятности будущего состояния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- начальный вектор вероятностей (рис. fig. 3) и (рис. fig. 4).</w:t>
      </w:r>
    </w:p>
    <w:p>
      <w:pPr>
        <w:pStyle w:val="CaptionedFigure"/>
      </w:pPr>
      <w:bookmarkStart w:id="33" w:name="fig:003"/>
      <w:r>
        <w:drawing>
          <wp:inline>
            <wp:extent cx="5334000" cy="3015092"/>
            <wp:effectExtent b="0" l="0" r="0" t="0"/>
            <wp:docPr descr="Рис. 3: Нахождение вектора вероятности после 5 шагов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Нахождение вектора вероятности после 5 шагов</w:t>
      </w:r>
    </w:p>
    <w:p>
      <w:pPr>
        <w:pStyle w:val="CaptionedFigure"/>
      </w:pPr>
      <w:bookmarkStart w:id="37" w:name="fig:004"/>
      <w:r>
        <w:drawing>
          <wp:inline>
            <wp:extent cx="1304925" cy="1533525"/>
            <wp:effectExtent b="0" l="0" r="0" t="0"/>
            <wp:docPr descr="Рис. 4: Нахождение вектора вероятности после 5 шагов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Нахождение вектора вероятности после 5 шагов</w:t>
      </w:r>
    </w:p>
    <w:p>
      <w:pPr>
        <w:pStyle w:val="BodyText"/>
      </w:pPr>
      <w:r>
        <w:t xml:space="preserve">Найдем вектор равновесного состояния для цепи Маркова с заданной переходной матрицей (рис. fig. 5).</w:t>
      </w:r>
    </w:p>
    <w:p>
      <w:pPr>
        <w:pStyle w:val="CaptionedFigure"/>
      </w:pPr>
      <w:bookmarkStart w:id="41" w:name="fig:005"/>
      <w:r>
        <w:drawing>
          <wp:inline>
            <wp:extent cx="5334000" cy="3558137"/>
            <wp:effectExtent b="0" l="0" r="0" t="0"/>
            <wp:docPr descr="Рис. 5: Нахождение вектора равновесного состояния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Нахождение вектора равновесного состояния</w:t>
      </w:r>
    </w:p>
    <w:p>
      <w:pPr>
        <w:pStyle w:val="BodyText"/>
      </w:pPr>
      <w:r>
        <w:t xml:space="preserve">Проверим правильность полученного результата (рис. fig. 6).</w:t>
      </w:r>
    </w:p>
    <w:p>
      <w:pPr>
        <w:pStyle w:val="CaptionedFigure"/>
      </w:pPr>
      <w:bookmarkStart w:id="45" w:name="fig:006"/>
      <w:r>
        <w:drawing>
          <wp:inline>
            <wp:extent cx="5200650" cy="4410075"/>
            <wp:effectExtent b="0" l="0" r="0" t="0"/>
            <wp:docPr descr="Рис. 6: Проверка результата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результата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47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49" w:name="ref-Octave_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Собственные значения и векторы матрицы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http://mathprofi.ru/sobstvennye_znachenija_i_sobstvennye_vektory.html</w:t>
        </w:r>
      </w:hyperlink>
      <w:r>
        <w:t xml:space="preserve">.</w:t>
      </w:r>
    </w:p>
    <w:bookmarkEnd w:id="49"/>
    <w:bookmarkStart w:id="51" w:name="ref-Octave_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Цепи Маркова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https://habr.com/ru/articles/455762/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hyperlink" Id="rId48" Target="http://mathprofi.ru/sobstvennye_znachenija_i_sobstvennye_vektory.html" TargetMode="External" /><Relationship Type="http://schemas.openxmlformats.org/officeDocument/2006/relationships/hyperlink" Id="rId50" Target="https://habr.com/ru/articles/45576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mathprofi.ru/sobstvennye_znachenija_i_sobstvennye_vektory.html" TargetMode="External" /><Relationship Type="http://schemas.openxmlformats.org/officeDocument/2006/relationships/hyperlink" Id="rId50" Target="https://habr.com/ru/articles/45576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Леонтьева Ксения Андреевна | НПМмд-02-23</dc:creator>
  <dc:language>ru-RU</dc:language>
  <cp:keywords/>
  <dcterms:created xsi:type="dcterms:W3CDTF">2023-10-12T13:25:53Z</dcterms:created>
  <dcterms:modified xsi:type="dcterms:W3CDTF">2023-10-12T13:25:53Z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