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1.png" ContentType="image/png"/>
  <Override PartName="/word/media/rId26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Иванова</w:t>
      </w:r>
      <w:r>
        <w:t xml:space="preserve"> </w:t>
      </w:r>
      <w:r>
        <w:t xml:space="preserve">Ксения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раздел-i."/>
      <w:r>
        <w:t xml:space="preserve">Раздел I.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BodyText"/>
      </w:pPr>
      <w:r>
        <w:rPr>
          <w:b/>
        </w:rPr>
        <w:t xml:space="preserve">Необходимо построить:</w:t>
      </w:r>
    </w:p>
    <w:p>
      <w:pPr>
        <w:numPr>
          <w:numId w:val="1001"/>
          <w:ilvl w:val="0"/>
        </w:numPr>
      </w:pPr>
      <w:r>
        <w:t xml:space="preserve">гистограммы на одном полотне, отразив теоретические плотности распределения;</w:t>
      </w:r>
    </w:p>
    <w:p>
      <w:pPr>
        <w:numPr>
          <w:numId w:val="1001"/>
          <w:ilvl w:val="0"/>
        </w:numPr>
      </w:pPr>
      <w:r>
        <w:t xml:space="preserve">таблицу со статистикой теста Андерсона-Дарлинга на нормальность;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с полупрозрачными маркерами;</w:t>
      </w:r>
    </w:p>
    <w:p>
      <w:pPr>
        <w:numPr>
          <w:numId w:val="1001"/>
          <w:ilvl w:val="0"/>
        </w:numPr>
      </w:pPr>
      <w:r>
        <w:t xml:space="preserve">графическое представление корреляционной матрицы.</w:t>
      </w:r>
    </w:p>
    <w:p>
      <w:pPr>
        <w:pStyle w:val="Heading3"/>
      </w:pPr>
      <w:bookmarkStart w:id="21" w:name="обозначения-количественных-показателей"/>
      <w:r>
        <w:t xml:space="preserve">Обозначения количественных показателей:</w:t>
      </w:r>
      <w:bookmarkEnd w:id="21"/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PMI.2015</w:t>
      </w:r>
      <w:r>
        <w:t xml:space="preserve"> </w:t>
      </w:r>
      <w:r>
        <w:t xml:space="preserve">– Среднедушевые денежные доходы населения</w:t>
      </w:r>
      <w:r>
        <w:br/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GRPpc.2015</w:t>
      </w:r>
      <w:r>
        <w:t xml:space="preserve"> </w:t>
      </w:r>
      <w:r>
        <w:t xml:space="preserve">– ВРП на душу населения</w:t>
      </w:r>
      <w:r>
        <w:br/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RTT.2015</w:t>
      </w:r>
      <w:r>
        <w:t xml:space="preserve"> </w:t>
      </w:r>
      <w:r>
        <w:t xml:space="preserve">– Оборот розничной торговли на душу населения</w:t>
      </w:r>
      <w:r>
        <w:br/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ECB.2014</w:t>
      </w:r>
      <w:r>
        <w:t xml:space="preserve"> </w:t>
      </w:r>
      <w:r>
        <w:t xml:space="preserve">– Расходы консолидированных бюджетов субъектов Российской Федерации: на социальную политику</w:t>
      </w:r>
      <w:r>
        <w:br/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NSB.2015</w:t>
      </w:r>
      <w:r>
        <w:t xml:space="preserve"> </w:t>
      </w:r>
      <w:r>
        <w:t xml:space="preserve">– Число малых предприятий на 10000 человек населения</w:t>
      </w:r>
    </w:p>
    <w:p>
      <w:pPr>
        <w:pStyle w:val="Heading2"/>
      </w:pPr>
      <w:bookmarkStart w:id="22" w:name="импорт-данных"/>
      <w:r>
        <w:t xml:space="preserve">Импорт данных:</w:t>
      </w:r>
      <w:bookmarkEnd w:id="22"/>
    </w:p>
    <w:p>
      <w:pPr>
        <w:pStyle w:val="FirstParagraph"/>
      </w:pPr>
      <w:r>
        <w:t xml:space="preserve">#Файл с данными содержит 92 строк и 8 столбцов.</w:t>
      </w:r>
    </w:p>
    <w:p>
      <w:pPr>
        <w:pStyle w:val="Heading2"/>
      </w:pPr>
      <w:bookmarkStart w:id="23" w:name="описательная-статистика"/>
      <w:r>
        <w:t xml:space="preserve">Описательная статистика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PMI.2015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GRPpc.2015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RTT.2015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NSB.2015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27653.7</w:t>
            </w:r>
          </w:p>
        </w:tc>
        <w:tc>
          <w:p>
            <w:pPr>
              <w:pStyle w:val="Compact"/>
              <w:jc w:val="right"/>
            </w:pPr>
            <w:r>
              <w:t xml:space="preserve">476974.1</w:t>
            </w:r>
          </w:p>
        </w:tc>
        <w:tc>
          <w:p>
            <w:pPr>
              <w:pStyle w:val="Compact"/>
              <w:jc w:val="right"/>
            </w:pPr>
            <w:r>
              <w:t xml:space="preserve">162172.5</w:t>
            </w:r>
          </w:p>
        </w:tc>
        <w:tc>
          <w:p>
            <w:pPr>
              <w:pStyle w:val="Compact"/>
              <w:jc w:val="right"/>
            </w:pPr>
            <w:r>
              <w:t xml:space="preserve">14355.2</w:t>
            </w:r>
          </w:p>
        </w:tc>
        <w:tc>
          <w:p>
            <w:pPr>
              <w:pStyle w:val="Compact"/>
              <w:jc w:val="right"/>
            </w:pPr>
            <w:r>
              <w:t xml:space="preserve">26498.4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9785.6</w:t>
            </w:r>
          </w:p>
        </w:tc>
        <w:tc>
          <w:p>
            <w:pPr>
              <w:pStyle w:val="Compact"/>
              <w:jc w:val="right"/>
            </w:pPr>
            <w:r>
              <w:t xml:space="preserve">668480.9</w:t>
            </w:r>
          </w:p>
        </w:tc>
        <w:tc>
          <w:p>
            <w:pPr>
              <w:pStyle w:val="Compact"/>
              <w:jc w:val="right"/>
            </w:pPr>
            <w:r>
              <w:t xml:space="preserve">46253.5</w:t>
            </w:r>
          </w:p>
        </w:tc>
        <w:tc>
          <w:p>
            <w:pPr>
              <w:pStyle w:val="Compact"/>
              <w:jc w:val="right"/>
            </w:pPr>
            <w:r>
              <w:t xml:space="preserve">26401.5</w:t>
            </w:r>
          </w:p>
        </w:tc>
        <w:tc>
          <w:p>
            <w:pPr>
              <w:pStyle w:val="Compact"/>
              <w:jc w:val="right"/>
            </w:pPr>
            <w:r>
              <w:t xml:space="preserve">39414.4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35.4</w:t>
            </w:r>
          </w:p>
        </w:tc>
        <w:tc>
          <w:p>
            <w:pPr>
              <w:pStyle w:val="Compact"/>
              <w:jc w:val="right"/>
            </w:pPr>
            <w:r>
              <w:t xml:space="preserve">140.2</w:t>
            </w:r>
          </w:p>
        </w:tc>
        <w:tc>
          <w:p>
            <w:pPr>
              <w:pStyle w:val="Compact"/>
              <w:jc w:val="right"/>
            </w:pPr>
            <w:r>
              <w:t xml:space="preserve">28.5</w:t>
            </w:r>
          </w:p>
        </w:tc>
        <w:tc>
          <w:p>
            <w:pPr>
              <w:pStyle w:val="Compact"/>
              <w:jc w:val="right"/>
            </w:pPr>
            <w:r>
              <w:t xml:space="preserve">183.9</w:t>
            </w:r>
          </w:p>
        </w:tc>
        <w:tc>
          <w:p>
            <w:pPr>
              <w:pStyle w:val="Compact"/>
              <w:jc w:val="right"/>
            </w:pPr>
            <w:r>
              <w:t xml:space="preserve">148.7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</w:t>
      </w:r>
      <w:r>
        <w:t xml:space="preserve"> </w:t>
      </w:r>
      <w:r>
        <w:rPr>
          <w:i/>
        </w:rPr>
        <w:t xml:space="preserve">GRPpc.2015</w:t>
      </w:r>
      <w:r>
        <w:t xml:space="preserve">,</w:t>
      </w:r>
      <w:r>
        <w:t xml:space="preserve"> </w:t>
      </w:r>
      <w:r>
        <w:rPr>
          <w:i/>
        </w:rPr>
        <w:t xml:space="preserve">ECB.2014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NSB.2015</w:t>
      </w:r>
      <w:r>
        <w:t xml:space="preserve"> </w:t>
      </w:r>
      <w:r>
        <w:t xml:space="preserve">неоднородны, т.к. коэффициент вариации &gt; 33%</w:t>
      </w:r>
    </w:p>
    <w:p>
      <w:pPr>
        <w:pStyle w:val="Heading2"/>
      </w:pPr>
      <w:bookmarkStart w:id="24" w:name="анализ-распределения-данных"/>
      <w:r>
        <w:t xml:space="preserve">Анализ распределения данных</w:t>
      </w:r>
      <w:bookmarkEnd w:id="24"/>
    </w:p>
    <w:p>
      <w:pPr>
        <w:pStyle w:val="Heading1"/>
      </w:pPr>
      <w:bookmarkStart w:id="25" w:name="коробчатые-диаграммы"/>
      <w:r>
        <w:t xml:space="preserve">Коробчатые диаграммы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vanova_lab_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Можно заметить, что каждый показатель имеет выбросы (свои аномальные точки)</w:t>
      </w:r>
    </w:p>
    <w:p>
      <w:pPr>
        <w:pStyle w:val="Heading1"/>
      </w:pPr>
      <w:bookmarkStart w:id="27" w:name="тесты-на-нормальность"/>
      <w:r>
        <w:t xml:space="preserve">Тесты на нормальность</w:t>
      </w:r>
      <w:bookmarkEnd w:id="27"/>
    </w:p>
    <w:p>
      <w:pPr>
        <w:pStyle w:val="Heading1"/>
      </w:pPr>
      <w:bookmarkStart w:id="28" w:name="тест-андерсона-дарлинга"/>
      <w:r>
        <w:t xml:space="preserve">Тест Андерсона-Дарлинга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PMI.2015.A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GRPpc.2015.A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RTT.2015.A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ECB.2014.A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NSB.2015.A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Статистика теста</w:t>
            </w:r>
          </w:p>
        </w:tc>
        <w:tc>
          <w:p>
            <w:pPr>
              <w:pStyle w:val="Compact"/>
              <w:jc w:val="right"/>
            </w:pPr>
            <w:r>
              <w:t xml:space="preserve">4.7271</w:t>
            </w:r>
          </w:p>
        </w:tc>
        <w:tc>
          <w:p>
            <w:pPr>
              <w:pStyle w:val="Compact"/>
              <w:jc w:val="right"/>
            </w:pPr>
            <w:r>
              <w:t xml:space="preserve">16.01</w:t>
            </w:r>
          </w:p>
        </w:tc>
        <w:tc>
          <w:p>
            <w:pPr>
              <w:pStyle w:val="Compact"/>
              <w:jc w:val="right"/>
            </w:pPr>
            <w:r>
              <w:t xml:space="preserve">0.7056</w:t>
            </w:r>
          </w:p>
        </w:tc>
        <w:tc>
          <w:p>
            <w:pPr>
              <w:pStyle w:val="Compact"/>
              <w:jc w:val="right"/>
            </w:pPr>
            <w:r>
              <w:t xml:space="preserve">14.6318</w:t>
            </w:r>
          </w:p>
        </w:tc>
        <w:tc>
          <w:p>
            <w:pPr>
              <w:pStyle w:val="Compact"/>
              <w:jc w:val="right"/>
            </w:pPr>
            <w:r>
              <w:t xml:space="preserve">9.8188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Критическое 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0.0631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Проверяя гипотезу нормального распределения для переменных на уровне значимости 0.05, мы отвергаем все факторы,так как их p-значения &lt; 0.05.</w:t>
      </w:r>
    </w:p>
    <w:p>
      <w:pPr>
        <w:pStyle w:val="Heading1"/>
      </w:pPr>
      <w:bookmarkStart w:id="29" w:name="анализ-линейных-взаимосвязей"/>
      <w:r>
        <w:t xml:space="preserve">Анализ линейных взаимосвязей</w:t>
      </w:r>
      <w:bookmarkEnd w:id="29"/>
    </w:p>
    <w:p>
      <w:pPr>
        <w:pStyle w:val="Heading1"/>
      </w:pPr>
      <w:bookmarkStart w:id="30" w:name="точечные-графики-разброса"/>
      <w:r>
        <w:t xml:space="preserve">Точечные графики разброса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vanova_lab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PMI.2015</w:t>
      </w:r>
      <w:r>
        <w:t xml:space="preserve"> </w:t>
      </w:r>
      <w:r>
        <w:t xml:space="preserve">и остальными показателями. У</w:t>
      </w:r>
      <w:r>
        <w:t xml:space="preserve"> </w:t>
      </w:r>
      <w:r>
        <w:rPr>
          <w:i/>
        </w:rPr>
        <w:t xml:space="preserve">PMI.2015</w:t>
      </w:r>
      <w:r>
        <w:t xml:space="preserve"> </w:t>
      </w:r>
      <w:r>
        <w:t xml:space="preserve">наблюдается положительная связь о всеми поазателями.</w:t>
      </w:r>
    </w:p>
    <w:p>
      <w:pPr>
        <w:pStyle w:val="Heading1"/>
      </w:pPr>
      <w:bookmarkStart w:id="32" w:name="корреляционная-матрица"/>
      <w:r>
        <w:t xml:space="preserve">Корреляционная матрица</w:t>
      </w:r>
      <w:bookmarkEnd w:id="32"/>
    </w:p>
    <w:p>
      <w:pPr>
        <w:pStyle w:val="Heading1"/>
      </w:pPr>
      <w:bookmarkStart w:id="33" w:name="коэффициенты-пирсона-с-р-значениями"/>
      <w:r>
        <w:t xml:space="preserve">коэффициенты Пирсона с Р-значениями</w:t>
      </w:r>
      <w:bookmarkEnd w:id="3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vanova_lab_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PMI.2015</w:t>
      </w:r>
      <w:r>
        <w:t xml:space="preserve"> </w:t>
      </w:r>
      <w:r>
        <w:t xml:space="preserve">с показателями ослабевает. Также наблюдается прямая связь и между самими показателями.</w:t>
      </w:r>
    </w:p>
    <w:p>
      <w:pPr>
        <w:pStyle w:val="Heading2"/>
      </w:pPr>
      <w:bookmarkStart w:id="35" w:name="раздел-ii"/>
      <w:r>
        <w:t xml:space="preserve">Раздел II</w:t>
      </w:r>
      <w:bookmarkEnd w:id="35"/>
    </w:p>
    <w:p>
      <w:pPr>
        <w:pStyle w:val="FirstParagraph"/>
      </w:pPr>
      <w:r>
        <w:t xml:space="preserve">В этом разделе необходимо прологарифмировать данные из первого раздела и провести с новыми данными те же махинации.</w:t>
      </w:r>
      <w:r>
        <w:t xml:space="preserve"> </w:t>
      </w:r>
      <w:r>
        <w:t xml:space="preserve">## Описательная статистика логарифмированных данных: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PMI.2015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GRPpc.2015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RTT.2015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NSB.2015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10.179</w:t>
            </w:r>
          </w:p>
        </w:tc>
        <w:tc>
          <w:p>
            <w:pPr>
              <w:pStyle w:val="Compact"/>
              <w:jc w:val="right"/>
            </w:pPr>
            <w:r>
              <w:t xml:space="preserve">12.755</w:t>
            </w:r>
          </w:p>
        </w:tc>
        <w:tc>
          <w:p>
            <w:pPr>
              <w:pStyle w:val="Compact"/>
              <w:jc w:val="right"/>
            </w:pPr>
            <w:r>
              <w:t xml:space="preserve">11.953</w:t>
            </w:r>
          </w:p>
        </w:tc>
        <w:tc>
          <w:p>
            <w:pPr>
              <w:pStyle w:val="Compact"/>
              <w:jc w:val="right"/>
            </w:pPr>
            <w:r>
              <w:t xml:space="preserve">9.087</w:t>
            </w:r>
          </w:p>
        </w:tc>
        <w:tc>
          <w:p>
            <w:pPr>
              <w:pStyle w:val="Compact"/>
              <w:jc w:val="right"/>
            </w:pPr>
            <w:r>
              <w:t xml:space="preserve">9.559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1.187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2.957</w:t>
            </w:r>
          </w:p>
        </w:tc>
        <w:tc>
          <w:p>
            <w:pPr>
              <w:pStyle w:val="Compact"/>
              <w:jc w:val="right"/>
            </w:pPr>
            <w:r>
              <w:t xml:space="preserve">5.135</w:t>
            </w:r>
          </w:p>
        </w:tc>
        <w:tc>
          <w:p>
            <w:pPr>
              <w:pStyle w:val="Compact"/>
              <w:jc w:val="right"/>
            </w:pPr>
            <w:r>
              <w:t xml:space="preserve">2.585</w:t>
            </w:r>
          </w:p>
        </w:tc>
        <w:tc>
          <w:p>
            <w:pPr>
              <w:pStyle w:val="Compact"/>
              <w:jc w:val="right"/>
            </w:pPr>
            <w:r>
              <w:t xml:space="preserve">9.970</w:t>
            </w:r>
          </w:p>
        </w:tc>
        <w:tc>
          <w:p>
            <w:pPr>
              <w:pStyle w:val="Compact"/>
              <w:jc w:val="right"/>
            </w:pPr>
            <w:r>
              <w:t xml:space="preserve">12.418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однородны.</w:t>
      </w:r>
    </w:p>
    <w:p>
      <w:pPr>
        <w:pStyle w:val="Heading2"/>
      </w:pPr>
      <w:bookmarkStart w:id="36" w:name="анализ-распределения-данных-1"/>
      <w:r>
        <w:t xml:space="preserve">Анализ распределения данных</w:t>
      </w:r>
      <w:bookmarkEnd w:id="36"/>
    </w:p>
    <w:p>
      <w:pPr>
        <w:pStyle w:val="FirstParagraph"/>
      </w:pPr>
      <w:r>
        <w:t xml:space="preserve">#Построим коробчатые диаграммы.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vanova_lab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Каждый признак имеет выбросы.</w:t>
      </w:r>
    </w:p>
    <w:p>
      <w:pPr>
        <w:pStyle w:val="Heading2"/>
      </w:pPr>
      <w:bookmarkStart w:id="38" w:name="Xb46bd7019720a66fd74dc1a7283b7bc1d084adb"/>
      <w:r>
        <w:t xml:space="preserve">Тест Андерсона-Дарлинга на нормальность распределения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PMI.2015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1.6707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GRPpc.2015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2.8409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RTT.2015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  <w:tc>
          <w:p>
            <w:pPr>
              <w:pStyle w:val="Compact"/>
              <w:jc w:val="right"/>
            </w:pPr>
            <w:r>
              <w:t xml:space="preserve">1.4164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ECB.2014</w:t>
            </w:r>
          </w:p>
        </w:tc>
        <w:tc>
          <w:p>
            <w:pPr>
              <w:pStyle w:val="Compact"/>
              <w:jc w:val="right"/>
            </w:pPr>
            <w:r>
              <w:t xml:space="preserve">0.1253</w:t>
            </w:r>
          </w:p>
        </w:tc>
        <w:tc>
          <w:p>
            <w:pPr>
              <w:pStyle w:val="Compact"/>
              <w:jc w:val="right"/>
            </w:pPr>
            <w:r>
              <w:t xml:space="preserve">0.5828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NSB.2015</w:t>
            </w:r>
          </w:p>
        </w:tc>
        <w:tc>
          <w:p>
            <w:pPr>
              <w:pStyle w:val="Compact"/>
              <w:jc w:val="right"/>
            </w:pPr>
            <w:r>
              <w:t xml:space="preserve">0.1918</w:t>
            </w:r>
          </w:p>
        </w:tc>
        <w:tc>
          <w:p>
            <w:pPr>
              <w:pStyle w:val="Compact"/>
              <w:jc w:val="right"/>
            </w:pPr>
            <w:r>
              <w:t xml:space="preserve">0.5101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все, кроме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ECB.2014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NSB.2015</w:t>
      </w:r>
      <w:r>
        <w:t xml:space="preserve">, так как остальные p-значения &lt; 0.05 .</w:t>
      </w:r>
    </w:p>
    <w:p>
      <w:pPr>
        <w:pStyle w:val="Heading2"/>
      </w:pPr>
      <w:bookmarkStart w:id="39" w:name="графики-разброса"/>
      <w:r>
        <w:t xml:space="preserve">Графики разброса</w:t>
      </w:r>
      <w:bookmarkEnd w:id="3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vanova_lab_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PMI.2015</w:t>
      </w:r>
      <w:r>
        <w:t xml:space="preserve"> </w:t>
      </w:r>
      <w:r>
        <w:t xml:space="preserve">и остальными показателями. У</w:t>
      </w:r>
      <w:r>
        <w:t xml:space="preserve"> </w:t>
      </w:r>
      <w:r>
        <w:rPr>
          <w:i/>
        </w:rPr>
        <w:t xml:space="preserve">PMI.2015</w:t>
      </w:r>
      <w:r>
        <w:t xml:space="preserve"> </w:t>
      </w:r>
      <w:r>
        <w:t xml:space="preserve">положительная связь со всеми показателями, кроме</w:t>
      </w:r>
      <w:r>
        <w:t xml:space="preserve"> </w:t>
      </w:r>
      <w:r>
        <w:rPr>
          <w:i/>
        </w:rPr>
        <w:t xml:space="preserve">NSB.2015</w:t>
      </w:r>
      <w:r>
        <w:t xml:space="preserve">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vanova_lab_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PMI.2015</w:t>
      </w:r>
      <w:r>
        <w:t xml:space="preserve"> </w:t>
      </w:r>
      <w:r>
        <w:t xml:space="preserve">имеет взаимосвязь со всеми показателями, кроме</w:t>
      </w:r>
      <w:r>
        <w:t xml:space="preserve"> </w:t>
      </w:r>
      <w:r>
        <w:rPr>
          <w:i/>
        </w:rPr>
        <w:t xml:space="preserve">NBS.2015</w:t>
      </w:r>
      <w:r>
        <w:t xml:space="preserve"> </w:t>
      </w:r>
      <w:r>
        <w:t xml:space="preserve">и показателями ослабевает. Также наблюдается прямая связь и между самими показателями..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Иванова Ксения</dc:creator>
  <cp:keywords/>
  <dcterms:created xsi:type="dcterms:W3CDTF">2020-12-28T10:29:34Z</dcterms:created>
  <dcterms:modified xsi:type="dcterms:W3CDTF">2020-12-28T10:29:34Z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28 12 2020</vt:lpwstr>
  </property>
  <property fmtid="{D5CDD505-2E9C-101B-9397-08002B2CF9AE}" pid="3" name="output">
    <vt:lpwstr>word_document</vt:lpwstr>
  </property>
</Properties>
</file>