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освоить на практике применение режима однократного гаммирования.</w:t>
      </w:r>
    </w:p>
    <w:bookmarkEnd w:id="20"/>
    <w:bookmarkStart w:id="21" w:name="указания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Указания к работе</w:t>
      </w:r>
    </w:p>
    <w:p>
      <w:pPr>
        <w:pStyle w:val="FirstParagraph"/>
      </w:pPr>
      <w:r>
        <w:rPr>
          <w:iCs/>
          <w:i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</w:t>
      </w:r>
    </w:p>
    <w:bookmarkEnd w:id="21"/>
    <w:bookmarkStart w:id="22" w:name="задание-к-лабораторной-работ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к лабораторной работе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Импортируем необходимые для работы библиотеки (fig. 1)</w:t>
      </w:r>
    </w:p>
    <w:p>
      <w:pPr>
        <w:pStyle w:val="CaptionedFigure"/>
      </w:pPr>
      <w:bookmarkStart w:id="26" w:name="fig:001"/>
      <w:r>
        <w:drawing>
          <wp:inline>
            <wp:extent cx="2978150" cy="615950"/>
            <wp:effectExtent b="0" l="0" r="0" t="0"/>
            <wp:docPr descr="Figure 1: Импорт библиотек" title="" id="24" name="Picture"/>
            <a:graphic>
              <a:graphicData uri="http://schemas.openxmlformats.org/drawingml/2006/picture">
                <pic:pic>
                  <pic:nvPicPr>
                    <pic:cNvPr descr="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Импорт библиотек</w:t>
      </w:r>
    </w:p>
    <w:p>
      <w:pPr>
        <w:numPr>
          <w:ilvl w:val="0"/>
          <w:numId w:val="1002"/>
        </w:numPr>
        <w:pStyle w:val="Compact"/>
      </w:pPr>
      <w:r>
        <w:t xml:space="preserve">Напишем функции формирования ключа, перевода данных в 16 систему и шифрования текста. (fig. 2)</w:t>
      </w:r>
    </w:p>
    <w:p>
      <w:pPr>
        <w:pStyle w:val="CaptionedFigure"/>
      </w:pPr>
      <w:bookmarkStart w:id="30" w:name="fig:002"/>
      <w:r>
        <w:drawing>
          <wp:inline>
            <wp:extent cx="5334000" cy="3204812"/>
            <wp:effectExtent b="0" l="0" r="0" t="0"/>
            <wp:docPr descr="Figure 2: Функции формирования ключа, перевода данных в 16 систему и шифрования" title="" id="28" name="Picture"/>
            <a:graphic>
              <a:graphicData uri="http://schemas.openxmlformats.org/drawingml/2006/picture">
                <pic:pic>
                  <pic:nvPicPr>
                    <pic:cNvPr descr="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Функции формирования ключа, перевода данных в 16 систему и шифрования</w:t>
      </w:r>
    </w:p>
    <w:p>
      <w:pPr>
        <w:numPr>
          <w:ilvl w:val="0"/>
          <w:numId w:val="1003"/>
        </w:numPr>
        <w:pStyle w:val="Compact"/>
      </w:pPr>
      <w:r>
        <w:t xml:space="preserve">Зашифруем и дешифруем предложенный текст с помощью сгенерированного ключа. (fig. 3)</w:t>
      </w:r>
    </w:p>
    <w:p>
      <w:pPr>
        <w:pStyle w:val="CaptionedFigure"/>
      </w:pPr>
      <w:bookmarkStart w:id="34" w:name="fig:003"/>
      <w:r>
        <w:drawing>
          <wp:inline>
            <wp:extent cx="5334000" cy="1862141"/>
            <wp:effectExtent b="0" l="0" r="0" t="0"/>
            <wp:docPr descr="Figure 3: Шифрование и дешифрование текста" title="" id="32" name="Picture"/>
            <a:graphic>
              <a:graphicData uri="http://schemas.openxmlformats.org/drawingml/2006/picture">
                <pic:pic>
                  <pic:nvPicPr>
                    <pic:cNvPr descr="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Шифрование и дешифрование текста</w:t>
      </w:r>
    </w:p>
    <w:p>
      <w:pPr>
        <w:numPr>
          <w:ilvl w:val="0"/>
          <w:numId w:val="1004"/>
        </w:numPr>
        <w:pStyle w:val="Compact"/>
      </w:pPr>
      <w:r>
        <w:t xml:space="preserve">Определим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Из нового ключа предложенный текст дешифруется верно.(fig. 4)</w:t>
      </w:r>
    </w:p>
    <w:p>
      <w:pPr>
        <w:pStyle w:val="CaptionedFigure"/>
      </w:pPr>
      <w:bookmarkStart w:id="38" w:name="fig:004"/>
      <w:r>
        <w:drawing>
          <wp:inline>
            <wp:extent cx="4248150" cy="1435100"/>
            <wp:effectExtent b="0" l="0" r="0" t="0"/>
            <wp:docPr descr="Figure 4: Шифрование и дешифрование текста" title="" id="36" name="Picture"/>
            <a:graphic>
              <a:graphicData uri="http://schemas.openxmlformats.org/drawingml/2006/picture">
                <pic:pic>
                  <pic:nvPicPr>
                    <pic:cNvPr descr="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Шифрование и дешифрование текста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освоили на практике применение режима однократного гаммирования.</w:t>
      </w:r>
    </w:p>
    <w:bookmarkEnd w:id="40"/>
    <w:bookmarkStart w:id="41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Элементы криптографии. Однократное гаммирование [Текст] / Кулябов Д. С., Королькова А. В., Геворкян М. Н. - Москва: - 3 с. [^1]: Элементы криптографии. Однократное гаммирование.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Кувшинова К.О. группа НФИ-02-19</dc:creator>
  <cp:keywords/>
  <dcterms:created xsi:type="dcterms:W3CDTF">2022-10-21T20:25:29Z</dcterms:created>
  <dcterms:modified xsi:type="dcterms:W3CDTF">2022-10-21T20:25:29Z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Однократное гаммирование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