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9.png" ContentType="image/png"/>
  <Override PartName="/word/media/rId2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простейшие модели боевых действий – модели Ланчестера.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 начальный момент времени страна Х имеет армию численностью 22 022 человек, а</w:t>
      </w:r>
      <w:r>
        <w:t xml:space="preserve"> </w:t>
      </w:r>
      <w:r>
        <w:t xml:space="preserve">в распоряжении страны У армия численностью в 33033 человек. 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 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0.401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0.707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0.606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0.502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t</m:t>
              </m:r>
            </m:e>
          </m:d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0.895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0.699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0.433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rPr>
          <w:iCs/>
          <w:i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сил.</w:t>
      </w:r>
    </w:p>
    <w:p>
      <w:pPr>
        <w:pStyle w:val="BodyText"/>
      </w:pPr>
      <w:r>
        <w:rPr>
          <w:iCs/>
          <w:i/>
        </w:rPr>
        <w:t xml:space="preserve">Уравнения Ланчестера</w:t>
      </w:r>
      <w:r>
        <w:t xml:space="preserve"> </w:t>
      </w:r>
      <w:r>
        <w:t xml:space="preserve">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 [1].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остановка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 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Рассмотри два случая ведения боевых действий:</w:t>
      </w:r>
      <w:r>
        <w:t xml:space="preserve"> </w:t>
      </w:r>
      <w:r>
        <w:t xml:space="preserve">1. Боевые действия между регулярными войсками;</w:t>
      </w:r>
      <w:r>
        <w:t xml:space="preserve"> </w:t>
      </w:r>
      <w:r>
        <w:t xml:space="preserve">2. Боевые действия с участием регулярных войск и партизанских отрядов.</w:t>
      </w:r>
    </w:p>
    <w:p>
      <w:pPr>
        <w:pStyle w:val="BodyText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 У и Х 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 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a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В этой системе все величины имею тот же смысл, что и в системе модели боевых действий между регулярными войсками.</w:t>
      </w:r>
    </w:p>
    <w:bookmarkEnd w:id="24"/>
    <w:bookmarkEnd w:id="25"/>
    <w:bookmarkStart w:id="44" w:name="решение-поставленной-задач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Решение поставленной задачи</w:t>
      </w:r>
    </w:p>
    <w:p>
      <w:pPr>
        <w:pStyle w:val="FirstParagraph"/>
      </w:pPr>
      <w:r>
        <w:t xml:space="preserve">В начальный момент времени страна Х имеет армию численностью 22 022 человек, а страна У - 33 033 человек.</w:t>
      </w:r>
    </w:p>
    <w:bookmarkStart w:id="34" w:name="X37c647783a0d1e0b6274cff853a0d7e99fafdf8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Модель боевых действий между регулярными войсками</w:t>
      </w:r>
    </w:p>
    <w:p>
      <w:pPr>
        <w:pStyle w:val="FirstParagraph"/>
      </w:pPr>
      <w:r>
        <w:t xml:space="preserve">Имеем следующую модель боевых действий: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0.401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0.707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0.606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0.502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Тогда начальные условия 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22022</m:t>
        </m:r>
      </m:oMath>
      <w:r>
        <w:t xml:space="preserve"> </w:t>
      </w:r>
      <w:r>
        <w:t xml:space="preserve">- чиленность армии страны Х</w:t>
      </w:r>
      <w:r>
        <w:t xml:space="preserve"> 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33033</m:t>
        </m:r>
      </m:oMath>
      <w:r>
        <w:t xml:space="preserve"> </w:t>
      </w:r>
      <w:r>
        <w:t xml:space="preserve">- чиленность армии страны У</w:t>
      </w:r>
      <w:r>
        <w:t xml:space="preserve"> 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0.401</m:t>
        </m:r>
      </m:oMath>
      <w:r>
        <w:t xml:space="preserve"> </w:t>
      </w:r>
      <w:r>
        <w:t xml:space="preserve">- степень влияния различных факторов на потери Х</w:t>
      </w:r>
      <w:r>
        <w:t xml:space="preserve"> 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0.707</m:t>
        </m:r>
      </m:oMath>
      <w:r>
        <w:t xml:space="preserve"> </w:t>
      </w:r>
      <w:r>
        <w:t xml:space="preserve">- эффективность боевых действий У</w:t>
      </w:r>
      <w:r>
        <w:t xml:space="preserve"> 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0.606</m:t>
        </m:r>
      </m:oMath>
      <w:r>
        <w:t xml:space="preserve"> </w:t>
      </w:r>
      <w:r>
        <w:t xml:space="preserve">- эффективность боевых действий Х</w:t>
      </w:r>
      <w:r>
        <w:t xml:space="preserve"> 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0.502</m:t>
        </m:r>
      </m:oMath>
      <w:r>
        <w:t xml:space="preserve"> </w:t>
      </w:r>
      <w:r>
        <w:t xml:space="preserve">- степень влияния различных факторов на потери У</w:t>
      </w:r>
      <w:r>
        <w:t xml:space="preserve"> 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t</m:t>
            </m:r>
          </m:e>
        </m:d>
      </m:oMath>
      <w:r>
        <w:t xml:space="preserve"> </w:t>
      </w:r>
      <w:r>
        <w:t xml:space="preserve">- возможность подхода подкрепления к войскам страны X</w:t>
      </w:r>
      <w:r>
        <w:t xml:space="preserve"> 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t</m:t>
            </m:r>
          </m:e>
        </m:d>
      </m:oMath>
      <w:r>
        <w:t xml:space="preserve"> </w:t>
      </w:r>
      <w:r>
        <w:t xml:space="preserve">- возможность подхода подкрепления к войскам страны У</w:t>
      </w:r>
      <w:r>
        <w:t xml:space="preserve"> </w:t>
      </w:r>
    </w:p>
    <w:p>
      <w:pPr>
        <w:pStyle w:val="BodyText"/>
      </w:pPr>
      <w:r>
        <w:t xml:space="preserve">Код программы в OpenModelica (fig. 1)</w:t>
      </w:r>
    </w:p>
    <w:p>
      <w:pPr>
        <w:pStyle w:val="CaptionedFigure"/>
      </w:pPr>
      <w:bookmarkStart w:id="29" w:name="fig:001"/>
      <w:r>
        <w:drawing>
          <wp:inline>
            <wp:extent cx="5334000" cy="2851066"/>
            <wp:effectExtent b="0" l="0" r="0" t="0"/>
            <wp:docPr descr="Figure 1: Код программы" title="" id="27" name="Picture"/>
            <a:graphic>
              <a:graphicData uri="http://schemas.openxmlformats.org/drawingml/2006/picture">
                <pic:pic>
                  <pic:nvPicPr>
                    <pic:cNvPr descr="код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Код программы</w:t>
      </w:r>
    </w:p>
    <w:p>
      <w:pPr>
        <w:pStyle w:val="BodyText"/>
      </w:pPr>
      <w:r>
        <w:t xml:space="preserve">В результате выполнения программы получаем график изменения численности войск.</w:t>
      </w:r>
      <w:r>
        <w:t xml:space="preserve"> </w:t>
      </w:r>
      <w:r>
        <w:t xml:space="preserve">Через секунду численность войск страны Х будет равно 1952, а страны У - 15468. (fig. 2)</w:t>
      </w:r>
    </w:p>
    <w:p>
      <w:pPr>
        <w:pStyle w:val="CaptionedFigure"/>
      </w:pPr>
      <w:bookmarkStart w:id="33" w:name="fig:002"/>
      <w:r>
        <w:drawing>
          <wp:inline>
            <wp:extent cx="5334000" cy="1804219"/>
            <wp:effectExtent b="0" l="0" r="0" t="0"/>
            <wp:docPr descr="Figure 2: График изменения численности войск в модели боевых действий между регулярными войсками" title="" id="31" name="Picture"/>
            <a:graphic>
              <a:graphicData uri="http://schemas.openxmlformats.org/drawingml/2006/picture">
                <pic:pic>
                  <pic:nvPicPr>
                    <pic:cNvPr descr="график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4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2: График изменения численности войск в модели боевых действий между регулярными войсками</w:t>
      </w:r>
    </w:p>
    <w:bookmarkEnd w:id="34"/>
    <w:bookmarkStart w:id="43" w:name="Xd3532732049124a2fefbb95ae0940d2e9b64dcc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w:r>
        <w:t xml:space="preserve">Имеем следующую модель боевых действий: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0.343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0.895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0.699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−</m:t>
          </m:r>
          <m:r>
            <m:t>0.433</m:t>
          </m:r>
          <m:r>
            <m:t>y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Тогда начальные условия 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22022</m:t>
        </m:r>
      </m:oMath>
      <w:r>
        <w:t xml:space="preserve"> </w:t>
      </w:r>
      <w:r>
        <w:t xml:space="preserve">- чиленность армии страны Х</w:t>
      </w:r>
      <w:r>
        <w:t xml:space="preserve"> 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33033</m:t>
        </m:r>
      </m:oMath>
      <w:r>
        <w:t xml:space="preserve"> </w:t>
      </w:r>
      <w:r>
        <w:t xml:space="preserve">- чиленность армии страны У</w:t>
      </w:r>
      <w:r>
        <w:t xml:space="preserve"> 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0.343</m:t>
        </m:r>
      </m:oMath>
      <w:r>
        <w:t xml:space="preserve"> </w:t>
      </w:r>
      <w:r>
        <w:t xml:space="preserve">- степень влияния различных факторов на потери Х</w:t>
      </w:r>
      <w:r>
        <w:t xml:space="preserve"> 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0.895</m:t>
        </m:r>
      </m:oMath>
      <w:r>
        <w:t xml:space="preserve"> </w:t>
      </w:r>
      <w:r>
        <w:t xml:space="preserve">- эффективность боевых действий У</w:t>
      </w:r>
      <w:r>
        <w:t xml:space="preserve"> 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0.699</m:t>
        </m:r>
      </m:oMath>
      <w:r>
        <w:t xml:space="preserve"> </w:t>
      </w:r>
      <w:r>
        <w:t xml:space="preserve">- эффективность боевых действий Х</w:t>
      </w:r>
      <w:r>
        <w:t xml:space="preserve"> 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0.433</m:t>
        </m:r>
      </m:oMath>
      <w:r>
        <w:t xml:space="preserve"> </w:t>
      </w:r>
      <w:r>
        <w:t xml:space="preserve">- степень влияния различных факторов на потери У</w:t>
      </w:r>
      <w:r>
        <w:t xml:space="preserve"> 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  <w:r>
        <w:t xml:space="preserve"> </w:t>
      </w:r>
      <w:r>
        <w:t xml:space="preserve">- возможность подхода подкрепления к войскам страны X</w:t>
      </w:r>
      <w:r>
        <w:t xml:space="preserve"> 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>
          <m:t>2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возможность подхода подкрепления к войскам страны У</w:t>
      </w:r>
      <w:r>
        <w:t xml:space="preserve"> </w:t>
      </w:r>
    </w:p>
    <w:p>
      <w:pPr>
        <w:pStyle w:val="BodyText"/>
      </w:pPr>
      <w:r>
        <w:t xml:space="preserve">Код программы в OpenModelica (fig. 3)</w:t>
      </w:r>
    </w:p>
    <w:p>
      <w:pPr>
        <w:pStyle w:val="CaptionedFigure"/>
      </w:pPr>
      <w:bookmarkStart w:id="38" w:name="fig:003"/>
      <w:r>
        <w:drawing>
          <wp:inline>
            <wp:extent cx="5334000" cy="2713413"/>
            <wp:effectExtent b="0" l="0" r="0" t="0"/>
            <wp:docPr descr="Figure 3: Код программы" title="" id="36" name="Picture"/>
            <a:graphic>
              <a:graphicData uri="http://schemas.openxmlformats.org/drawingml/2006/picture">
                <pic:pic>
                  <pic:nvPicPr>
                    <pic:cNvPr descr="код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Код программы</w:t>
      </w:r>
    </w:p>
    <w:p>
      <w:pPr>
        <w:pStyle w:val="BodyText"/>
      </w:pPr>
      <w:r>
        <w:t xml:space="preserve">В результате выполнения программы получаем график изменения численности войск.</w:t>
      </w:r>
      <w:r>
        <w:t xml:space="preserve"> </w:t>
      </w:r>
      <w:r>
        <w:t xml:space="preserve">Через секунду численность войск страны Х будет равно 15627, а у страны У уже на 0.05 сек численность будет равна нулю. (fig. 4)</w:t>
      </w:r>
    </w:p>
    <w:p>
      <w:pPr>
        <w:pStyle w:val="CaptionedFigure"/>
      </w:pPr>
      <w:bookmarkStart w:id="42" w:name="fig:004"/>
      <w:r>
        <w:drawing>
          <wp:inline>
            <wp:extent cx="5334000" cy="1921413"/>
            <wp:effectExtent b="0" l="0" r="0" t="0"/>
            <wp:docPr descr="Figure 4: График изменения численности войск в модели боевых действий с участием регулярных войск и партизанских отрядов" title="" id="40" name="Picture"/>
            <a:graphic>
              <a:graphicData uri="http://schemas.openxmlformats.org/drawingml/2006/picture">
                <pic:pic>
                  <pic:nvPicPr>
                    <pic:cNvPr descr="график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4: График изменения численности войск в модели боевых действий с участием регулярных войск и партизанских отрядов</w:t>
      </w:r>
    </w:p>
    <w:bookmarkEnd w:id="43"/>
    <w:bookmarkEnd w:id="44"/>
    <w:bookmarkStart w:id="45" w:name="вывод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рассмотрели простейшие модели боевых действий – модели Ланчестера.</w:t>
      </w:r>
    </w:p>
    <w:bookmarkEnd w:id="45"/>
    <w:bookmarkStart w:id="46" w:name="библиография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Библиография</w:t>
      </w:r>
    </w:p>
    <w:p>
      <w:pPr>
        <w:numPr>
          <w:ilvl w:val="0"/>
          <w:numId w:val="1003"/>
        </w:numPr>
        <w:pStyle w:val="Compact"/>
      </w:pPr>
      <w:r>
        <w:t xml:space="preserve">Wikipedia: Законы Осипова — Ланчестера ( [1]: https://ru.wikipedia.org/wiki/%D0%97%D0%B0%D0%BA%D0%BE%D0%BD%D1%8B_%D0%9E%D1%81%D0%B8%D0%BF%D0%BE%D0%B2%D0%B0_%E2%80%94_%D0%9B%D0%B0%D0%BD%D1%87%D0%B5%D1%81%D1%82%D0%B5%D1%80%D0%B0).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26" Target="media/rId26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Кувшинова К.О. группа НФИ-02-19</dc:creator>
  <cp:keywords/>
  <dcterms:created xsi:type="dcterms:W3CDTF">2022-02-23T10:57:01Z</dcterms:created>
  <dcterms:modified xsi:type="dcterms:W3CDTF">2022-02-23T10:57:01Z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Модель боевых действий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