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9.png" ContentType="image/png"/>
  <Override PartName="/word/media/rId3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Задача</w:t>
      </w:r>
      <w:r>
        <w:t xml:space="preserve"> </w:t>
      </w:r>
      <w:r>
        <w:t xml:space="preserve">об</w:t>
      </w:r>
      <w:r>
        <w:t xml:space="preserve"> </w:t>
      </w:r>
      <w:r>
        <w:t xml:space="preserve">эпидемии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модель задачи об эпидемии типа SIR.</w:t>
      </w:r>
    </w:p>
    <w:bookmarkEnd w:id="20"/>
    <w:bookmarkStart w:id="22" w:name="зада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работы</w:t>
      </w:r>
    </w:p>
    <w:bookmarkStart w:id="21" w:name="вариант-36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Вариант 36</w:t>
      </w:r>
    </w:p>
    <w:p>
      <w:pPr>
        <w:pStyle w:val="FirstParagraph"/>
      </w:pPr>
      <w:r>
        <w:t xml:space="preserve">На одном острове вспыхнула эпидемия. Известно, что из всех проживающих на острове (N=12 400) в момент начала эпидемии (t=0)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150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55</m:t>
        </m:r>
      </m:oMath>
      <w:r>
        <w:t xml:space="preserve">. Таким образом, число людей восприимчивых к</w:t>
      </w:r>
      <w:r>
        <w:t xml:space="preserve"> </w:t>
      </w:r>
      <w:r>
        <w:t xml:space="preserve">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  <w:r>
        <w:t xml:space="preserve"> </w:t>
      </w:r>
      <w:r>
        <w:t xml:space="preserve">1)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2) 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1"/>
    <w:bookmarkEnd w:id="22"/>
    <w:bookmarkStart w:id="23" w:name="теоретичсе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Теоретичсекое введение</w:t>
      </w:r>
    </w:p>
    <w:p>
      <w:pPr>
        <w:pStyle w:val="FirstParagraph"/>
      </w:pPr>
      <w:r>
        <w:t xml:space="preserve">Некая популяция, состоящая из N особей,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 закону: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S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I</m:t>
            </m:r>
          </m:num>
          <m:den>
            <m:r>
              <m:t>d</m:t>
            </m:r>
            <m:r>
              <m:t>t</m:t>
            </m:r>
          </m:den>
        </m:f>
      </m:oMath>
      <w:r>
        <w:t xml:space="preserve">=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 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</m:t>
                        </m:r>
                      </m:e>
                    </m:d>
                    <m:r>
                      <m:rPr>
                        <m:sty m:val="p"/>
                      </m:rPr>
                      <m:t>&lt;</m:t>
                    </m:r>
                    <m:r>
                      <m:rPr>
                        <m:sty m:val="p"/>
                      </m:rPr>
                      <m:t>=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R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β</m:t>
        </m:r>
        <m:r>
          <m:t>I</m:t>
        </m:r>
      </m:oMath>
    </w:p>
    <w:p>
      <w:pPr>
        <w:pStyle w:val="BodyText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- 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условия.</w:t>
      </w:r>
      <w:r>
        <w:t xml:space="preserve"> </w:t>
      </w:r>
      <w:r>
        <w:t xml:space="preserve">[^1]</w:t>
      </w:r>
    </w:p>
    <w:bookmarkEnd w:id="23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8" w:name="решение"/>
    <w:p>
      <w:pPr>
        <w:pStyle w:val="Heading3"/>
      </w:pPr>
      <w:r>
        <w:rPr>
          <w:rStyle w:val="SectionNumber"/>
        </w:rPr>
        <w:t xml:space="preserve">4.0.1</w:t>
      </w:r>
      <w:r>
        <w:tab/>
      </w:r>
      <w:r>
        <w:t xml:space="preserve">Решение</w:t>
      </w:r>
    </w:p>
    <w:p>
      <w:pPr>
        <w:pStyle w:val="FirstParagraph"/>
      </w:pPr>
      <w:r>
        <w:t xml:space="preserve">Начальные условия:</w:t>
      </w:r>
    </w:p>
    <w:p>
      <w:pPr>
        <w:pStyle w:val="BodyText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- коэффициент заболеваемости</w:t>
      </w:r>
    </w:p>
    <w:p>
      <w:pPr>
        <w:pStyle w:val="BodyText"/>
      </w:pPr>
      <m:oMath>
        <m:r>
          <m:t>β</m:t>
        </m:r>
        <m:r>
          <m:rPr>
            <m:sty m:val="p"/>
          </m:rPr>
          <m:t>=</m:t>
        </m:r>
        <m:r>
          <m:t>0.02</m:t>
        </m:r>
      </m:oMath>
      <w:r>
        <w:t xml:space="preserve"> </w:t>
      </w:r>
      <w:r>
        <w:t xml:space="preserve">- коэффициент выздоровления</w:t>
      </w:r>
    </w:p>
    <w:p>
      <w:pPr>
        <w:pStyle w:val="BodyText"/>
      </w:pPr>
      <m:oMath>
        <m:r>
          <m:t>N</m:t>
        </m:r>
        <m:r>
          <m:rPr>
            <m:sty m:val="p"/>
          </m:rPr>
          <m:t>=</m:t>
        </m:r>
        <m:r>
          <m:t>12400</m:t>
        </m:r>
      </m:oMath>
      <w:r>
        <w:t xml:space="preserve"> </w:t>
      </w:r>
      <w:r>
        <w:t xml:space="preserve">- общая численность популяции</w:t>
      </w:r>
    </w:p>
    <w:p>
      <w:pPr>
        <w:pStyle w:val="BodyText"/>
      </w:pPr>
      <m:oMath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150</m:t>
        </m:r>
      </m:oMath>
      <w:r>
        <w:t xml:space="preserve"> </w:t>
      </w:r>
      <w:r>
        <w:t xml:space="preserve">- количество инфицированных особей в начальный момент времени</w:t>
      </w:r>
    </w:p>
    <w:p>
      <w:pPr>
        <w:pStyle w:val="BodyText"/>
      </w:pP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55</m:t>
        </m:r>
      </m:oMath>
      <w:r>
        <w:t xml:space="preserve"> </w:t>
      </w:r>
      <w:r>
        <w:t xml:space="preserve">- количество здоровых особей с иммунитетом в начальный момент времени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sSub>
          <m:e>
            <m:r>
              <m:t>I</m:t>
            </m:r>
          </m:e>
          <m:sub>
            <m:r>
              <m:t>0</m:t>
            </m:r>
          </m:sub>
        </m:sSub>
        <m:r>
          <m:rPr>
            <m:sty m:val="p"/>
          </m:rPr>
          <m:t>−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количество восприимчивых к болезни особей в начальный момент времени</w:t>
      </w:r>
    </w:p>
    <w:p>
      <w:pPr>
        <w:pStyle w:val="BodyText"/>
      </w:pPr>
      <w:r>
        <w:t xml:space="preserve">Код программы в OpenModelica(fig. 1):</w:t>
      </w:r>
    </w:p>
    <w:p>
      <w:pPr>
        <w:pStyle w:val="CaptionedFigure"/>
      </w:pPr>
      <w:bookmarkStart w:id="27" w:name="fig:001"/>
      <w:r>
        <w:drawing>
          <wp:inline>
            <wp:extent cx="5334000" cy="2664097"/>
            <wp:effectExtent b="0" l="0" r="0" t="0"/>
            <wp:docPr descr="Figure 1: Код программы" title="" id="25" name="Picture"/>
            <a:graphic>
              <a:graphicData uri="http://schemas.openxmlformats.org/drawingml/2006/picture">
                <pic:pic>
                  <pic:nvPicPr>
                    <pic:cNvPr descr="код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4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 программы</w:t>
      </w:r>
    </w:p>
    <w:bookmarkEnd w:id="28"/>
    <w:bookmarkStart w:id="37" w:name="случай-1-i0i"/>
    <w:p>
      <w:pPr>
        <w:pStyle w:val="Heading3"/>
      </w:pPr>
      <w:r>
        <w:rPr>
          <w:rStyle w:val="SectionNumber"/>
        </w:rPr>
        <w:t xml:space="preserve">4.0.2</w:t>
      </w:r>
      <w:r>
        <w:tab/>
      </w:r>
      <w:r>
        <w:t xml:space="preserve">Случай 1: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&lt;</m:t>
        </m:r>
        <m:r>
          <m:rPr>
            <m:sty m:val="p"/>
          </m:rPr>
          <m:t>=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График изменения числа инфицированных особей и выздоровевших особей (fig. 2):</w:t>
      </w:r>
    </w:p>
    <w:p>
      <w:pPr>
        <w:pStyle w:val="CaptionedFigure"/>
      </w:pPr>
      <w:bookmarkStart w:id="32" w:name="fig:002"/>
      <w:r>
        <w:drawing>
          <wp:inline>
            <wp:extent cx="5334000" cy="2174895"/>
            <wp:effectExtent b="0" l="0" r="0" t="0"/>
            <wp:docPr descr="Figure 2: График изменения числа инфицированных особей и выздоровевших особей" title="" id="30" name="Picture"/>
            <a:graphic>
              <a:graphicData uri="http://schemas.openxmlformats.org/drawingml/2006/picture">
                <pic:pic>
                  <pic:nvPicPr>
                    <pic:cNvPr descr="график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4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График изменения числа инфицированных особей и выздоровевших особей</w:t>
      </w:r>
    </w:p>
    <w:p>
      <w:pPr>
        <w:pStyle w:val="BodyText"/>
      </w:pPr>
      <w:r>
        <w:t xml:space="preserve">График изменения числа инфицированных особей, выздоровевших особей и восприимчивых особей (fig. 3):</w:t>
      </w:r>
    </w:p>
    <w:p>
      <w:pPr>
        <w:pStyle w:val="CaptionedFigure"/>
      </w:pPr>
      <w:bookmarkStart w:id="36" w:name="fig:003"/>
      <w:r>
        <w:drawing>
          <wp:inline>
            <wp:extent cx="5334000" cy="2111518"/>
            <wp:effectExtent b="0" l="0" r="0" t="0"/>
            <wp:docPr descr="Figure 3: График изменения числа инфицированных особей, выздоровевших особей и восприимчивых особей" title="" id="34" name="Picture"/>
            <a:graphic>
              <a:graphicData uri="http://schemas.openxmlformats.org/drawingml/2006/picture">
                <pic:pic>
                  <pic:nvPicPr>
                    <pic:cNvPr descr="график1.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1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График изменения числа инфицированных особей, выздоровевших особей и восприимчивых особей</w:t>
      </w:r>
    </w:p>
    <w:bookmarkEnd w:id="37"/>
    <w:bookmarkStart w:id="42" w:name="случай-2-i0i"/>
    <w:p>
      <w:pPr>
        <w:pStyle w:val="Heading3"/>
      </w:pPr>
      <w:r>
        <w:rPr>
          <w:rStyle w:val="SectionNumber"/>
        </w:rPr>
        <w:t xml:space="preserve">4.0.3</w:t>
      </w:r>
      <w:r>
        <w:tab/>
      </w:r>
      <w:r>
        <w:t xml:space="preserve">Случай 2: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FirstParagraph"/>
      </w:pPr>
      <w:r>
        <w:t xml:space="preserve">График изменения числа инфицированных особей, выздоровевших особей и восприимчивых особей (fig. 4):</w:t>
      </w:r>
    </w:p>
    <w:p>
      <w:pPr>
        <w:pStyle w:val="CaptionedFigure"/>
      </w:pPr>
      <w:bookmarkStart w:id="41" w:name="fig:004"/>
      <w:r>
        <w:drawing>
          <wp:inline>
            <wp:extent cx="5334000" cy="2177992"/>
            <wp:effectExtent b="0" l="0" r="0" t="0"/>
            <wp:docPr descr="Figure 4: График изменения числа инфицированных особей, выздоровевших особей и восприимчивых особей" title="" id="39" name="Picture"/>
            <a:graphic>
              <a:graphicData uri="http://schemas.openxmlformats.org/drawingml/2006/picture">
                <pic:pic>
                  <pic:nvPicPr>
                    <pic:cNvPr descr="график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7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4: График изменения числа инфицированных особей, выздоровевших особей и восприимчивых особей</w:t>
      </w:r>
    </w:p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работы мы рассмотрели и построили эпидемическую модель типа SIR.</w:t>
      </w:r>
    </w:p>
    <w:bookmarkEnd w:id="44"/>
    <w:bookmarkStart w:id="45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1"/>
        </w:numPr>
        <w:pStyle w:val="Compact"/>
      </w:pPr>
      <w:r>
        <w:t xml:space="preserve">Кулябов, Д.С. Задача об эпидемии [Текст] / Д.С.Кулябов. - Москва: - 4 с. [^1]: Кулябов, Д.С. Задача об эпидемии.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9" Target="media/rId29.png" /><Relationship Type="http://schemas.openxmlformats.org/officeDocument/2006/relationships/image" Id="rId38" Target="media/rId3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Кувшинова К.О. группа НФИ-02-19</dc:creator>
  <cp:keywords/>
  <dcterms:created xsi:type="dcterms:W3CDTF">2022-03-18T11:52:07Z</dcterms:created>
  <dcterms:modified xsi:type="dcterms:W3CDTF">2022-03-18T11:52:07Z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Задача об эпидемии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