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Аналитическая записка.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Использованы различные модели для построения модели бинарной классификации.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Выбраны те модели, которые не склонны к переобучению из-за мультиколлинеарности, но в то же время интерпретируемы.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исходном датасете разбалансированы классы.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Так, если случайно  присваивать разбалансированные в соотношении 0,7:0,3 значения 0 и 1, то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accuracy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составит 0,5, а метрика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Precision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0,3.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RandomForrest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значение составило 0,73, что вкупе 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Precision =0.37,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что однозначно говорит о пользе модели.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классификаторе  AUC ROC = 0,75, и означает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вероятность того, что случайно выбранный positive объект будет проранжирован классификатором выше (будет иметь более высокую вероятность быть positive), чем случайно выбранный negative объект.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CatBoost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сработал лучше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Accuracy: 0.77, Precision: 0.42 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 AUC 0.81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что ещё выше случайных разбалансированных значений.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Однако, недостатком модели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CatBoost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являются более высокие требования к вычислительным мощностям.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Таким образом, если стоит задача интерпретируемости моделей, то есть смысл остановиться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CatBoost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зависимости от того, какая стоит бизнес - задача, уменьшение ложноотрицательных или ложноположительных значений, есть смысл работать с показателем варьированием порога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predict_proba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Дальнейшая работа по улушению качества модели может двигаться исходя из создания новых призанков, так и из каких-либо дополнительных внутренних или внешних данных о клиентах (например, срок урегулирования страховых случаев, факт продления клиентом других страховок, продление других клиентов, относящихся к тому же кусту,  скоринговой оценки БКИ или мобильных операторов, данных портала Госуслуг, ГИБДД, налоговой инспекции, данных приложений смартфона и проч).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случае, если есть возможность отойти от требования интерпретации (например, если такое требование исходит не от регулятора, а от подразделения продаж или маркетинга), есть смысл попробовать  нейросети, стекинг моделей, деформацию признаков. При этом стоит учесть, что неинтерпретируемые модели склонны к переобучению, нуждаются в регуляризации и их обучение стоит прекращать, когда на валидации качество перестаёт расти.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Примечание.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построении модели автор исходил из предположения, что случаи, когда страховая сумма = 0, не являюстя ошибочными, а являются значением страховой суммы после её уменьшения в случае наступления страховых случаев (тотальные ДТП, угоны).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