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33.jpg" ContentType="image/jpeg"/>
  <Override PartName="/word/media/rId34.jpg" ContentType="image/jpeg"/>
  <Override PartName="/word/media/rId39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40.jpg" ContentType="image/jpeg"/>
  <Override PartName="/word/media/rId38.jpg" ContentType="image/jpeg"/>
  <Override PartName="/word/media/rId28.jpg" ContentType="image/jpeg"/>
  <Override PartName="/word/media/rId29.jpg" ContentType="image/jpeg"/>
  <Override PartName="/word/media/rId41.jpg" ContentType="image/jpeg"/>
  <Override PartName="/word/media/rId42.jpg" ContentType="image/jpeg"/>
  <Override PartName="/word/media/rId43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разгарничение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Бурдина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Павловна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22nd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практических навыков работы в консоли с атрибутами файлов для групп пользователей.</w:t>
      </w:r>
    </w:p>
    <w:bookmarkEnd w:id="20"/>
    <w:bookmarkStart w:id="45" w:name="ход-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операционной системе создадим учётную запись пользователя guest (используя учётную запись администратора):</w:t>
      </w:r>
    </w:p>
    <w:p>
      <w:pPr>
        <w:pStyle w:val="CaptionedFigure"/>
      </w:pPr>
      <w:r>
        <w:drawing>
          <wp:inline>
            <wp:extent cx="5334000" cy="1581087"/>
            <wp:effectExtent b="0" l="0" r="0" t="0"/>
            <wp:docPr descr="Создание пользователя guest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 guest</w:t>
      </w:r>
    </w:p>
    <w:p>
      <w:pPr>
        <w:numPr>
          <w:ilvl w:val="0"/>
          <w:numId w:val="1002"/>
        </w:numPr>
        <w:pStyle w:val="Compact"/>
      </w:pPr>
      <w:r>
        <w:t xml:space="preserve">Зададим пароль для пользователя guest (используя учётную запись администратора):</w:t>
      </w:r>
    </w:p>
    <w:p>
      <w:pPr>
        <w:pStyle w:val="CaptionedFigure"/>
      </w:pPr>
      <w:r>
        <w:drawing>
          <wp:inline>
            <wp:extent cx="4772025" cy="866775"/>
            <wp:effectExtent b="0" l="0" r="0" t="0"/>
            <wp:docPr descr="Задание пароля для пользователя guest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пароля для пользователя guest</w:t>
      </w:r>
    </w:p>
    <w:p>
      <w:pPr>
        <w:numPr>
          <w:ilvl w:val="0"/>
          <w:numId w:val="1003"/>
        </w:numPr>
        <w:pStyle w:val="Compact"/>
      </w:pPr>
      <w:r>
        <w:t xml:space="preserve">Аналогично создадим второго пользователя guest2:</w:t>
      </w:r>
    </w:p>
    <w:p>
      <w:pPr>
        <w:pStyle w:val="CaptionedFigure"/>
      </w:pPr>
      <w:r>
        <w:drawing>
          <wp:inline>
            <wp:extent cx="5133975" cy="1209675"/>
            <wp:effectExtent b="0" l="0" r="0" t="0"/>
            <wp:docPr descr="Создание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 guest2</w:t>
      </w:r>
    </w:p>
    <w:p>
      <w:pPr>
        <w:numPr>
          <w:ilvl w:val="0"/>
          <w:numId w:val="1004"/>
        </w:numPr>
        <w:pStyle w:val="Compact"/>
      </w:pPr>
      <w:r>
        <w:t xml:space="preserve">Добавим пользователя guest2 в группу guest:</w:t>
      </w:r>
    </w:p>
    <w:p>
      <w:pPr>
        <w:pStyle w:val="CaptionedFigure"/>
      </w:pPr>
      <w:r>
        <w:drawing>
          <wp:inline>
            <wp:extent cx="4391025" cy="361950"/>
            <wp:effectExtent b="0" l="0" r="0" t="0"/>
            <wp:docPr descr="Добавление пользователя в группу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пользователя в группу</w:t>
      </w:r>
    </w:p>
    <w:p>
      <w:pPr>
        <w:numPr>
          <w:ilvl w:val="0"/>
          <w:numId w:val="1005"/>
        </w:numPr>
      </w:pPr>
      <w:r>
        <w:t xml:space="preserve">Осуществим вход в систему от двух пользователей на двух разных консолях: guest на первой консоли и guest2 на второй консоли.</w:t>
      </w:r>
    </w:p>
    <w:p>
      <w:pPr>
        <w:numPr>
          <w:ilvl w:val="0"/>
          <w:numId w:val="1005"/>
        </w:numPr>
      </w:pPr>
      <w:r>
        <w:t xml:space="preserve">Для обоих пользователей командой pwd определим директорию, в которой мы находимся:</w:t>
      </w:r>
    </w:p>
    <w:p>
      <w:pPr>
        <w:pStyle w:val="CaptionedFigure"/>
      </w:pPr>
      <w:r>
        <w:drawing>
          <wp:inline>
            <wp:extent cx="5019675" cy="1190625"/>
            <wp:effectExtent b="0" l="0" r="0" t="0"/>
            <wp:docPr descr="Определение текущей директории пользователей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текущей директории пользователей</w:t>
      </w:r>
    </w:p>
    <w:p>
      <w:pPr>
        <w:pStyle w:val="BodyText"/>
      </w:pPr>
      <w:r>
        <w:t xml:space="preserve">Видим, что она идентична с приглашениями командной строки и является домашней директорией.</w:t>
      </w:r>
    </w:p>
    <w:p>
      <w:pPr>
        <w:numPr>
          <w:ilvl w:val="0"/>
          <w:numId w:val="1006"/>
        </w:numPr>
        <w:pStyle w:val="Compact"/>
      </w:pPr>
      <w:r>
        <w:t xml:space="preserve">Уточним имя нашего пользователя, его группу, а также группы, куда входит пользователь:</w:t>
      </w:r>
    </w:p>
    <w:p>
      <w:pPr>
        <w:pStyle w:val="CaptionedFigure"/>
      </w:pPr>
      <w:r>
        <w:drawing>
          <wp:inline>
            <wp:extent cx="5334000" cy="1663220"/>
            <wp:effectExtent b="0" l="0" r="0" t="0"/>
            <wp:docPr descr="Проверка данных пользователей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данных пользователей</w:t>
      </w:r>
    </w:p>
    <w:p>
      <w:pPr>
        <w:pStyle w:val="BodyText"/>
      </w:pPr>
      <w:r>
        <w:t xml:space="preserve">С помощью команд groups guest и groups guest2 можем увидеть, что пользователь guest входит в группу guest, а пользователь guest2 помимо своей группы входит также в группу guest. Сравнивая вывод команды groups с выводом команд id -Gn и id -G, видим, что это так и есть. Нам видны группы, в которых состоит каждый из пользователей, а также системные номера данных групп.</w:t>
      </w:r>
    </w:p>
    <w:p>
      <w:pPr>
        <w:numPr>
          <w:ilvl w:val="0"/>
          <w:numId w:val="1007"/>
        </w:numPr>
        <w:pStyle w:val="Compact"/>
      </w:pPr>
      <w:r>
        <w:t xml:space="preserve">Сравнивая полученную информацию с содержимым файла /etc/group, видим, что информация о группах пользователей отображается верно:</w:t>
      </w:r>
    </w:p>
    <w:p>
      <w:pPr>
        <w:pStyle w:val="CaptionedFigure"/>
      </w:pPr>
      <w:r>
        <w:drawing>
          <wp:inline>
            <wp:extent cx="3705225" cy="876300"/>
            <wp:effectExtent b="0" l="0" r="0" t="0"/>
            <wp:docPr descr="Просмотр файла (н)" title="" id="1" name="Picture"/>
            <a:graphic>
              <a:graphicData uri="http://schemas.openxmlformats.org/drawingml/2006/picture">
                <pic:pic>
                  <pic:nvPicPr>
                    <pic:cNvPr descr="screen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(н)</w:t>
      </w:r>
    </w:p>
    <w:p>
      <w:pPr>
        <w:pStyle w:val="CaptionedFigure"/>
      </w:pPr>
      <w:r>
        <w:drawing>
          <wp:inline>
            <wp:extent cx="2781300" cy="504825"/>
            <wp:effectExtent b="0" l="0" r="0" t="0"/>
            <wp:docPr descr="Просмотр файла (к)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(к)</w:t>
      </w:r>
    </w:p>
    <w:p>
      <w:pPr>
        <w:numPr>
          <w:ilvl w:val="0"/>
          <w:numId w:val="1008"/>
        </w:numPr>
        <w:pStyle w:val="Compact"/>
      </w:pPr>
      <w:r>
        <w:t xml:space="preserve">От имени пользователя guest2 выполним регистрацию пользователя guest2 в группе guest:</w:t>
      </w:r>
    </w:p>
    <w:p>
      <w:pPr>
        <w:pStyle w:val="CaptionedFigure"/>
      </w:pPr>
      <w:r>
        <w:drawing>
          <wp:inline>
            <wp:extent cx="3514725" cy="161925"/>
            <wp:effectExtent b="0" l="0" r="0" t="0"/>
            <wp:docPr descr="Регистрация пользователя в группе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пользователя в группе</w:t>
      </w:r>
    </w:p>
    <w:p>
      <w:pPr>
        <w:numPr>
          <w:ilvl w:val="0"/>
          <w:numId w:val="1009"/>
        </w:numPr>
        <w:pStyle w:val="Compact"/>
      </w:pPr>
      <w:r>
        <w:t xml:space="preserve">От имени пользователя guest изменим права директории /home/guest, разрешив все действия для пользователей группы:</w:t>
      </w:r>
    </w:p>
    <w:p>
      <w:pPr>
        <w:pStyle w:val="CaptionedFigure"/>
      </w:pPr>
      <w:r>
        <w:drawing>
          <wp:inline>
            <wp:extent cx="3514725" cy="180975"/>
            <wp:effectExtent b="0" l="0" r="0" t="0"/>
            <wp:docPr descr="Изменение прав директории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директории</w:t>
      </w:r>
    </w:p>
    <w:p>
      <w:pPr>
        <w:numPr>
          <w:ilvl w:val="0"/>
          <w:numId w:val="1010"/>
        </w:numPr>
        <w:pStyle w:val="Compact"/>
      </w:pPr>
      <w:r>
        <w:t xml:space="preserve">От имени пользователя guest снимем с директории /home/guest/dir1 все атрибуты:</w:t>
      </w:r>
    </w:p>
    <w:p>
      <w:pPr>
        <w:pStyle w:val="CaptionedFigure"/>
      </w:pPr>
      <w:r>
        <w:drawing>
          <wp:inline>
            <wp:extent cx="3086100" cy="152400"/>
            <wp:effectExtent b="0" l="0" r="0" t="0"/>
            <wp:docPr descr="Снятие атрибутов с директории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Снятие атрибутов с директории</w:t>
      </w:r>
    </w:p>
    <w:p>
      <w:pPr>
        <w:pStyle w:val="BodyText"/>
      </w:pPr>
      <w:r>
        <w:t xml:space="preserve">Проверим правильность снятия атрибутов с директории dir1:</w:t>
      </w:r>
    </w:p>
    <w:p>
      <w:pPr>
        <w:pStyle w:val="CaptionedFigure"/>
      </w:pPr>
      <w:r>
        <w:drawing>
          <wp:inline>
            <wp:extent cx="4600575" cy="695325"/>
            <wp:effectExtent b="0" l="0" r="0" t="0"/>
            <wp:docPr descr="Просмотр атрибутов директории dir1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атрибутов директории dir1</w:t>
      </w:r>
    </w:p>
    <w:p>
      <w:pPr>
        <w:numPr>
          <w:ilvl w:val="0"/>
          <w:numId w:val="1011"/>
        </w:numPr>
        <w:pStyle w:val="Compact"/>
      </w:pPr>
      <w:r>
        <w:t xml:space="preserve">Заполним таблицу «Установленные права и разрешённые действия», меняя атрибуты у директории dir1 и файла file1 от имени пользователя guest и делая проверку от пользователя guest2 [1].</w:t>
      </w:r>
    </w:p>
    <w:p>
      <w:pPr>
        <w:pStyle w:val="FirstParagraph"/>
      </w:pPr>
      <w:r>
        <w:t xml:space="preserve">Мы рассматриваем вторые три атрибута, которые относятся к группе. Это 64 варианта.</w:t>
      </w:r>
    </w:p>
    <w:p>
      <w:pPr>
        <w:pStyle w:val="BodyText"/>
      </w:pPr>
      <w:r>
        <w:t xml:space="preserve">Проведем действия с атрибутами директории 000 и атрибутами файла с 000 до 070.</w:t>
      </w:r>
    </w:p>
    <w:p>
      <w:pPr>
        <w:pStyle w:val="BodyText"/>
      </w:pPr>
      <w:r>
        <w:t xml:space="preserve">Нам требуется для каждого возможного варианта проверить, будет ли выполняться создание и удаление файла, запись в файл, его чтение, смена директории, просмотр файлов в директории, возможно ли будет переименовывать файл, а также изменять его атрибуты.</w:t>
      </w:r>
    </w:p>
    <w:p>
      <w:pPr>
        <w:pStyle w:val="BodyText"/>
      </w:pPr>
      <w:r>
        <w:t xml:space="preserve">Установим атрибуты директории dir1 как 000:</w:t>
      </w:r>
    </w:p>
    <w:p>
      <w:pPr>
        <w:pStyle w:val="CaptionedFigure"/>
      </w:pPr>
      <w:r>
        <w:drawing>
          <wp:inline>
            <wp:extent cx="3800475" cy="342900"/>
            <wp:effectExtent b="0" l="0" r="0" t="0"/>
            <wp:docPr descr="Действия при атрибутах dir1(000) и file(000)" title="" id="1" name="Picture"/>
            <a:graphic>
              <a:graphicData uri="http://schemas.openxmlformats.org/drawingml/2006/picture">
                <pic:pic>
                  <pic:nvPicPr>
                    <pic:cNvPr descr="screens/70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при атрибутах dir1(000) и file(000)</w:t>
      </w:r>
    </w:p>
    <w:p>
      <w:pPr>
        <w:pStyle w:val="BodyText"/>
      </w:pPr>
      <w:r>
        <w:t xml:space="preserve">Можем понять, что не имея прав ни на директорию, ни на файл мы не можем даже перейти в директорию, поэтому остальные действия точно не будут выполняться. Можем заполнить таблицу минусами при атрибутах директории 000.</w:t>
      </w:r>
    </w:p>
    <w:p>
      <w:pPr>
        <w:pStyle w:val="BodyText"/>
      </w:pPr>
      <w:r>
        <w:t xml:space="preserve">Изменим атрибуты директории на 010. У нас появилась возможность на исполнение директории, поэтому теперь мы можем изменять директорию, в которой находимся. Однако при атрибутах файла 000 мы до сих пор не имеем прав на работу с ним.</w:t>
      </w:r>
    </w:p>
    <w:p>
      <w:pPr>
        <w:pStyle w:val="BodyText"/>
      </w:pPr>
      <w:r>
        <w:t xml:space="preserve">Изменив атрибуты файла на 010 и получив возможность на исполнение файла, мы по прежнему не будем иметь возможностей для работы группы с файлом.</w:t>
      </w:r>
    </w:p>
    <w:p>
      <w:pPr>
        <w:pStyle w:val="BodyText"/>
      </w:pPr>
      <w:r>
        <w:t xml:space="preserve">Изменим атрибуты файла на 020. У нас появилась возможность редактирования файла, поэтому теперь возможно совершить запись в файл, однако прочитать его мы не сможем:</w:t>
      </w:r>
    </w:p>
    <w:p>
      <w:pPr>
        <w:pStyle w:val="CaptionedFigure"/>
      </w:pPr>
      <w:r>
        <w:drawing>
          <wp:inline>
            <wp:extent cx="3676650" cy="704850"/>
            <wp:effectExtent b="0" l="0" r="0" t="0"/>
            <wp:docPr descr="Действия при атрибутах dir1(010) и file(020)" title="" id="1" name="Picture"/>
            <a:graphic>
              <a:graphicData uri="http://schemas.openxmlformats.org/drawingml/2006/picture">
                <pic:pic>
                  <pic:nvPicPr>
                    <pic:cNvPr descr="screens/7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при атрибутах dir1(010) и file(020)</w:t>
      </w:r>
    </w:p>
    <w:p>
      <w:pPr>
        <w:pStyle w:val="BodyText"/>
      </w:pPr>
      <w:r>
        <w:t xml:space="preserve">При атрибутах файла 030 будет возможно выполнение аналогичных действий. Нам невозможно ни создание, ни удаление, ни чтение файла, но есть право редактирования:</w:t>
      </w:r>
    </w:p>
    <w:p>
      <w:pPr>
        <w:pStyle w:val="CaptionedFigure"/>
      </w:pPr>
      <w:r>
        <w:drawing>
          <wp:inline>
            <wp:extent cx="4752975" cy="1209675"/>
            <wp:effectExtent b="0" l="0" r="0" t="0"/>
            <wp:docPr descr="Действия при атрибутах dir1(010) и file(030)" title="" id="1" name="Picture"/>
            <a:graphic>
              <a:graphicData uri="http://schemas.openxmlformats.org/drawingml/2006/picture">
                <pic:pic>
                  <pic:nvPicPr>
                    <pic:cNvPr descr="screens/7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при атрибутах dir1(010) и file(030)</w:t>
      </w:r>
    </w:p>
    <w:p>
      <w:pPr>
        <w:pStyle w:val="BodyText"/>
      </w:pPr>
      <w:r>
        <w:t xml:space="preserve">Изменим атрибуты файла на 040, тем самым получив возможность чтения файла:</w:t>
      </w:r>
    </w:p>
    <w:p>
      <w:pPr>
        <w:pStyle w:val="CaptionedFigure"/>
      </w:pPr>
      <w:r>
        <w:drawing>
          <wp:inline>
            <wp:extent cx="3810000" cy="342900"/>
            <wp:effectExtent b="0" l="0" r="0" t="0"/>
            <wp:docPr descr="Действия при атрибутах dir1(010) и file(040)" title="" id="1" name="Picture"/>
            <a:graphic>
              <a:graphicData uri="http://schemas.openxmlformats.org/drawingml/2006/picture">
                <pic:pic>
                  <pic:nvPicPr>
                    <pic:cNvPr descr="screens/74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при атрибутах dir1(010) и file(040)</w:t>
      </w:r>
    </w:p>
    <w:p>
      <w:pPr>
        <w:pStyle w:val="BodyText"/>
      </w:pPr>
      <w:r>
        <w:t xml:space="preserve">При атрибутах файла 050 у нас имеется право на чтение и исполнение, поэтому с предыдущими атрибутами разницы по сути нет.</w:t>
      </w:r>
    </w:p>
    <w:p>
      <w:pPr>
        <w:pStyle w:val="BodyText"/>
      </w:pPr>
      <w:r>
        <w:t xml:space="preserve">Далее посмотрим на возможности с атрибутами файла 060. У нас есть возможность чтения и редактирования файла, но по прежнему невозможно создание новых файлом и их удаление:</w:t>
      </w:r>
    </w:p>
    <w:p>
      <w:pPr>
        <w:pStyle w:val="CaptionedFigure"/>
      </w:pPr>
      <w:r>
        <w:drawing>
          <wp:inline>
            <wp:extent cx="4648200" cy="1190625"/>
            <wp:effectExtent b="0" l="0" r="0" t="0"/>
            <wp:docPr descr="Действия при атрибутах dir1(010) и file(060)" title="" id="1" name="Picture"/>
            <a:graphic>
              <a:graphicData uri="http://schemas.openxmlformats.org/drawingml/2006/picture">
                <pic:pic>
                  <pic:nvPicPr>
                    <pic:cNvPr descr="screens/76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при атрибутах dir1(010) и file(060)</w:t>
      </w:r>
    </w:p>
    <w:p>
      <w:pPr>
        <w:pStyle w:val="BodyText"/>
      </w:pPr>
      <w:r>
        <w:t xml:space="preserve">При атрибутах файла 070 результаты будут аналогичными. При этом можем увидеть, что с данными атрибутами директории у нас все еще нет прав на переименование файлов, просмотр содержимого каталога и изменение атрибутов файла:</w:t>
      </w:r>
    </w:p>
    <w:p>
      <w:pPr>
        <w:pStyle w:val="CaptionedFigure"/>
      </w:pPr>
      <w:r>
        <w:drawing>
          <wp:inline>
            <wp:extent cx="5334000" cy="2014237"/>
            <wp:effectExtent b="0" l="0" r="0" t="0"/>
            <wp:docPr descr="Действия при атрибутах dir1(010) и file(070)" title="" id="1" name="Picture"/>
            <a:graphic>
              <a:graphicData uri="http://schemas.openxmlformats.org/drawingml/2006/picture">
                <pic:pic>
                  <pic:nvPicPr>
                    <pic:cNvPr descr="screens/77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при атрибутах dir1(010) и file(070)</w:t>
      </w:r>
    </w:p>
    <w:p>
      <w:pPr>
        <w:pStyle w:val="BodyText"/>
      </w:pPr>
      <w:r>
        <w:t xml:space="preserve">По аналогии проведем действия с другими атрибутами директории dir1 (от 020 до 070).</w:t>
      </w:r>
    </w:p>
    <w:p>
      <w:pPr>
        <w:pStyle w:val="BodyText"/>
      </w:pPr>
      <w:r>
        <w:t xml:space="preserve">Приведем действия при некоторых из всех возможных атрибутов директории и файла. Например, имея возможности директории на исполнение и редактирование, а файла на исполнение, редактирование и чтение, мы можем производить все действия с файлом, кроме изменения его атрибутов, но при этом не сможем просмотреть содержимое каталога, поскольку не имеем права на чтение:</w:t>
      </w:r>
    </w:p>
    <w:p>
      <w:pPr>
        <w:pStyle w:val="CaptionedFigure"/>
      </w:pPr>
      <w:r>
        <w:drawing>
          <wp:inline>
            <wp:extent cx="5095875" cy="1543050"/>
            <wp:effectExtent b="0" l="0" r="0" t="0"/>
            <wp:docPr descr="Действия при атрибутах dir1(030) и file(070)" title="" id="1" name="Picture"/>
            <a:graphic>
              <a:graphicData uri="http://schemas.openxmlformats.org/drawingml/2006/picture">
                <pic:pic>
                  <pic:nvPicPr>
                    <pic:cNvPr descr="screens/73-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при атрибутах dir1(030) и file(070)</w:t>
      </w:r>
    </w:p>
    <w:p>
      <w:pPr>
        <w:pStyle w:val="BodyText"/>
      </w:pPr>
      <w:r>
        <w:t xml:space="preserve">А вот при максимальных возможностях директории мы можем успешно выполнить все действия:</w:t>
      </w:r>
    </w:p>
    <w:p>
      <w:pPr>
        <w:pStyle w:val="CaptionedFigure"/>
      </w:pPr>
      <w:r>
        <w:drawing>
          <wp:inline>
            <wp:extent cx="4410075" cy="1876425"/>
            <wp:effectExtent b="0" l="0" r="0" t="0"/>
            <wp:docPr descr="Действия при атрибутах dir1(070) и file(070)" title="" id="1" name="Picture"/>
            <a:graphic>
              <a:graphicData uri="http://schemas.openxmlformats.org/drawingml/2006/picture">
                <pic:pic>
                  <pic:nvPicPr>
                    <pic:cNvPr descr="screens/77-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при атрибутах dir1(070) и file(070)</w:t>
      </w:r>
    </w:p>
    <w:p>
      <w:pPr>
        <w:pStyle w:val="BodyText"/>
      </w:pPr>
      <w:r>
        <w:t xml:space="preserve">По итогам заполним общую таблицу. Она выглядит следующим образом:</w:t>
      </w:r>
    </w:p>
    <w:p>
      <w:pPr>
        <w:pStyle w:val="CaptionedFigure"/>
      </w:pPr>
      <w:r>
        <w:drawing>
          <wp:inline>
            <wp:extent cx="5334000" cy="4430305"/>
            <wp:effectExtent b="0" l="0" r="0" t="0"/>
            <wp:docPr descr="Таблица прав и разрешений 1" title="" id="1" name="Picture"/>
            <a:graphic>
              <a:graphicData uri="http://schemas.openxmlformats.org/drawingml/2006/picture">
                <pic:pic>
                  <pic:nvPicPr>
                    <pic:cNvPr descr="screens/t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прав и разрешений 1</w:t>
      </w:r>
    </w:p>
    <w:p>
      <w:pPr>
        <w:pStyle w:val="CaptionedFigure"/>
      </w:pPr>
      <w:r>
        <w:drawing>
          <wp:inline>
            <wp:extent cx="5334000" cy="4440403"/>
            <wp:effectExtent b="0" l="0" r="0" t="0"/>
            <wp:docPr descr="Таблица прав и разрешений 2" title="" id="1" name="Picture"/>
            <a:graphic>
              <a:graphicData uri="http://schemas.openxmlformats.org/drawingml/2006/picture">
                <pic:pic>
                  <pic:nvPicPr>
                    <pic:cNvPr descr="screens/t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прав и разрешений 2</w:t>
      </w:r>
    </w:p>
    <w:p>
      <w:pPr>
        <w:pStyle w:val="CaptionedFigure"/>
      </w:pPr>
      <w:r>
        <w:drawing>
          <wp:inline>
            <wp:extent cx="5334000" cy="4633575"/>
            <wp:effectExtent b="0" l="0" r="0" t="0"/>
            <wp:docPr descr="Таблица прав и разрешений 3" title="" id="1" name="Picture"/>
            <a:graphic>
              <a:graphicData uri="http://schemas.openxmlformats.org/drawingml/2006/picture">
                <pic:pic>
                  <pic:nvPicPr>
                    <pic:cNvPr descr="screens/t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прав и разрешений 3</w:t>
      </w:r>
    </w:p>
    <w:p>
      <w:pPr>
        <w:pStyle w:val="BodyText"/>
      </w:pPr>
      <w:r>
        <w:t xml:space="preserve">Проанализировав данную таблицу и сравнив ее с таблицей из прошлой лабораторной работы, можем увидеть, что в целом права на пользователя и на группу сильно не меняются и если давать группе права аналогичные тем, что есть у самого пользователя, то все входящие в группу смогут совершать те же действия, что и сам пользователь.</w:t>
      </w:r>
    </w:p>
    <w:p>
      <w:pPr>
        <w:pStyle w:val="BodyText"/>
      </w:pPr>
      <w:r>
        <w:t xml:space="preserve">Заполним также вторую таблицу, где пропишем по результатам заполнения таблицы минимальные права, которые необходимы для совершения каждой из операций:</w:t>
      </w:r>
    </w:p>
    <w:p>
      <w:pPr>
        <w:pStyle w:val="CaptionedFigure"/>
      </w:pPr>
      <w:r>
        <w:drawing>
          <wp:inline>
            <wp:extent cx="5334000" cy="2656267"/>
            <wp:effectExtent b="0" l="0" r="0" t="0"/>
            <wp:docPr descr="Таблица минимальных прав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screens/t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минимальных прав для совершения операций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получили практические навыки работы в консоли с атрибутами файлов для групп пользователей, а также проанализировали возможности для группы пользователей при различных атрибутах.</w:t>
      </w:r>
    </w:p>
    <w:bookmarkEnd w:id="46"/>
    <w:bookmarkStart w:id="47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12"/>
        </w:numPr>
        <w:pStyle w:val="Compact"/>
      </w:pPr>
      <w:r>
        <w:t xml:space="preserve">Методические материалы курса</w:t>
      </w:r>
      <w:r>
        <w:t xml:space="preserve"> </w:t>
      </w:r>
      <w:r>
        <w:t xml:space="preserve">(https://esystem.rudn.ru/pluginfile.php/1651885/mod_resource/content/4/003-lab_discret_2users.pdf)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da4300bd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8c1c03f9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9" Target="media/rId39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38" Target="media/rId38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Бурдина Ксения Павловна</dc:creator>
  <dc:language>ru-RU</dc:language>
  <cp:keywords/>
  <dcterms:created xsi:type="dcterms:W3CDTF">2022-09-22T06:11:24Z</dcterms:created>
  <dcterms:modified xsi:type="dcterms:W3CDTF">2022-09-22T06:11:24Z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ate">
    <vt:lpwstr>2022 Sep 22nd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group">
    <vt:lpwstr>NFIbd-01-19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institute">
    <vt:lpwstr>RUDN University, Moscow, Russian Federation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Дискреционное разгарничение прав в Linux. Два пользователя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