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прикреплять ссылки и иконки. Улучшить навык создания постов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зарегистрируемся на следующих сайтах.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https://elibrary.ru/;(рис. 1)</w:t>
      </w:r>
    </w:p>
    <w:p>
      <w:pPr>
        <w:pStyle w:val="CaptionedFigure"/>
      </w:pPr>
      <w:bookmarkStart w:id="23" w:name="fig:001"/>
      <w:r>
        <w:drawing>
          <wp:inline>
            <wp:extent cx="2908300" cy="5588000"/>
            <wp:effectExtent b="0" l="0" r="0" t="0"/>
            <wp:docPr descr="Рис. 1: Регистраци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Регистрация 1</w:t>
      </w:r>
    </w:p>
    <w:p>
      <w:pPr>
        <w:numPr>
          <w:ilvl w:val="0"/>
          <w:numId w:val="1003"/>
        </w:numPr>
        <w:pStyle w:val="Compact"/>
      </w:pPr>
      <w:r>
        <w:t xml:space="preserve">Google Scholar : https://scholar.google.com/; (рис. 2)</w:t>
      </w:r>
    </w:p>
    <w:p>
      <w:pPr>
        <w:pStyle w:val="CaptionedFigure"/>
      </w:pPr>
      <w:bookmarkStart w:id="25" w:name="fig:002"/>
      <w:r>
        <w:drawing>
          <wp:inline>
            <wp:extent cx="5334000" cy="2277250"/>
            <wp:effectExtent b="0" l="0" r="0" t="0"/>
            <wp:docPr descr="Рис. 2: Регистраци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Регистрация 2</w:t>
      </w:r>
    </w:p>
    <w:p>
      <w:pPr>
        <w:numPr>
          <w:ilvl w:val="0"/>
          <w:numId w:val="1004"/>
        </w:numPr>
        <w:pStyle w:val="Compact"/>
      </w:pPr>
      <w:r>
        <w:t xml:space="preserve">ORCID : https://orcid.org/;(рис. 3)</w:t>
      </w:r>
    </w:p>
    <w:p>
      <w:pPr>
        <w:pStyle w:val="CaptionedFigure"/>
      </w:pPr>
      <w:bookmarkStart w:id="27" w:name="fig:003"/>
      <w:r>
        <w:drawing>
          <wp:inline>
            <wp:extent cx="5334000" cy="1579144"/>
            <wp:effectExtent b="0" l="0" r="0" t="0"/>
            <wp:docPr descr="Рис. 3: Регистрация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Регистрация 3</w:t>
      </w:r>
    </w:p>
    <w:p>
      <w:pPr>
        <w:numPr>
          <w:ilvl w:val="0"/>
          <w:numId w:val="1005"/>
        </w:numPr>
        <w:pStyle w:val="Compact"/>
      </w:pPr>
      <w:r>
        <w:t xml:space="preserve">Mendeley : https://www.mendeley.com/;(рис. 4)</w:t>
      </w:r>
    </w:p>
    <w:p>
      <w:pPr>
        <w:pStyle w:val="CaptionedFigure"/>
      </w:pPr>
      <w:bookmarkStart w:id="29" w:name="fig:004"/>
      <w:r>
        <w:drawing>
          <wp:inline>
            <wp:extent cx="5334000" cy="1660071"/>
            <wp:effectExtent b="0" l="0" r="0" t="0"/>
            <wp:docPr descr="Рис. 4: Регистраци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Регистраци 4</w:t>
      </w:r>
    </w:p>
    <w:p>
      <w:pPr>
        <w:numPr>
          <w:ilvl w:val="0"/>
          <w:numId w:val="1006"/>
        </w:numPr>
        <w:pStyle w:val="Compact"/>
      </w:pPr>
      <w:r>
        <w:t xml:space="preserve">ResearchGate : https://www.researchgate.net/;(рис. 5)</w:t>
      </w:r>
    </w:p>
    <w:p>
      <w:pPr>
        <w:pStyle w:val="CaptionedFigure"/>
      </w:pPr>
      <w:bookmarkStart w:id="31" w:name="fig:005"/>
      <w:r>
        <w:drawing>
          <wp:inline>
            <wp:extent cx="5334000" cy="1193066"/>
            <wp:effectExtent b="0" l="0" r="0" t="0"/>
            <wp:docPr descr="Рис. 5: Регистрация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Регистрация 5</w:t>
      </w:r>
    </w:p>
    <w:p>
      <w:pPr>
        <w:numPr>
          <w:ilvl w:val="0"/>
          <w:numId w:val="1007"/>
        </w:numPr>
        <w:pStyle w:val="Compact"/>
      </w:pPr>
      <w:r>
        <w:t xml:space="preserve">Academia.edu : https://www.academia.edu/;(рис. 6)</w:t>
      </w:r>
    </w:p>
    <w:p>
      <w:pPr>
        <w:pStyle w:val="CaptionedFigure"/>
      </w:pPr>
      <w:bookmarkStart w:id="33" w:name="fig:006"/>
      <w:r>
        <w:drawing>
          <wp:inline>
            <wp:extent cx="4787900" cy="8001000"/>
            <wp:effectExtent b="0" l="0" r="0" t="0"/>
            <wp:docPr descr="Рис. 6: Регистрация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Регистрация 6</w:t>
      </w:r>
    </w:p>
    <w:p>
      <w:pPr>
        <w:numPr>
          <w:ilvl w:val="0"/>
          <w:numId w:val="1008"/>
        </w:numPr>
      </w:pPr>
      <w:r>
        <w:t xml:space="preserve">arXiv : https://arxiv.org/;</w:t>
      </w:r>
    </w:p>
    <w:p>
      <w:pPr>
        <w:numPr>
          <w:ilvl w:val="0"/>
          <w:numId w:val="1008"/>
        </w:numPr>
      </w:pPr>
      <w:r>
        <w:t xml:space="preserve">github : https://github.com/.(рис. 7)</w:t>
      </w:r>
    </w:p>
    <w:p>
      <w:pPr>
        <w:pStyle w:val="CaptionedFigure"/>
      </w:pPr>
      <w:bookmarkStart w:id="35" w:name="fig:008"/>
      <w:r>
        <w:drawing>
          <wp:inline>
            <wp:extent cx="5334000" cy="2676513"/>
            <wp:effectExtent b="0" l="0" r="0" t="0"/>
            <wp:docPr descr="Рис. 7: Регистрация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Регистрация 8</w:t>
      </w:r>
    </w:p>
    <w:p>
      <w:pPr>
        <w:pStyle w:val="BodyText"/>
      </w:pPr>
      <w:r>
        <w:t xml:space="preserve">Затем размещаем наши сслыки на сайте, для этого content/admin и меняем ссылки и иконки. (рис. 8), (рис. 9)</w:t>
      </w:r>
    </w:p>
    <w:p>
      <w:pPr>
        <w:pStyle w:val="CaptionedFigure"/>
      </w:pPr>
      <w:bookmarkStart w:id="37" w:name="fig:009"/>
      <w:r>
        <w:drawing>
          <wp:inline>
            <wp:extent cx="5334000" cy="3706090"/>
            <wp:effectExtent b="0" l="0" r="0" t="0"/>
            <wp:docPr descr="Рис. 8: Код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Код</w:t>
      </w:r>
    </w:p>
    <w:p>
      <w:pPr>
        <w:pStyle w:val="CaptionedFigure"/>
      </w:pPr>
      <w:bookmarkStart w:id="39" w:name="fig:010"/>
      <w:r>
        <w:drawing>
          <wp:inline>
            <wp:extent cx="5334000" cy="4089080"/>
            <wp:effectExtent b="0" l="0" r="0" t="0"/>
            <wp:docPr descr="Рис. 9: Итог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Итог</w:t>
      </w:r>
    </w:p>
    <w:p>
      <w:pPr>
        <w:numPr>
          <w:ilvl w:val="0"/>
          <w:numId w:val="1009"/>
        </w:numPr>
        <w:pStyle w:val="Compact"/>
      </w:pPr>
      <w:r>
        <w:t xml:space="preserve">После этого сделаем пост по прошедшей недели и пост на тему по выбору аналогично, как делали в предыдущих этапах.(рис. 10),(рис. 11)</w:t>
      </w:r>
    </w:p>
    <w:p>
      <w:pPr>
        <w:pStyle w:val="CaptionedFigure"/>
      </w:pPr>
      <w:bookmarkStart w:id="41" w:name="fig:011"/>
      <w:r>
        <w:drawing>
          <wp:inline>
            <wp:extent cx="5334000" cy="4689386"/>
            <wp:effectExtent b="0" l="0" r="0" t="0"/>
            <wp:docPr descr="Рис. 10: Создание личного пос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Создание личного поста</w:t>
      </w:r>
    </w:p>
    <w:p>
      <w:pPr>
        <w:pStyle w:val="CaptionedFigure"/>
      </w:pPr>
      <w:bookmarkStart w:id="43" w:name="fig:012"/>
      <w:r>
        <w:drawing>
          <wp:inline>
            <wp:extent cx="5334000" cy="5526795"/>
            <wp:effectExtent b="0" l="0" r="0" t="0"/>
            <wp:docPr descr="Рис. 11: Создание поста на тему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Создание поста на тему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прикреплять ссылки и улучшила навык создания постов.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</dc:title>
  <dc:creator>Сячинова Ксения Ивановна</dc:creator>
  <dc:language>ru-RU</dc:language>
  <cp:keywords/>
  <dcterms:created xsi:type="dcterms:W3CDTF">2022-05-19T11:38:55Z</dcterms:created>
  <dcterms:modified xsi:type="dcterms:W3CDTF">2022-05-19T11:38:55Z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