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3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технология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возможностями.</w:t>
      </w:r>
    </w:p>
    <w:bookmarkEnd w:id="20"/>
    <w:bookmarkStart w:id="1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Создаём каталог для выполнения лабораторной работы. Переходим в него и создаём файл для первого листинга.(рис. 1)</w:t>
      </w:r>
    </w:p>
    <w:p>
      <w:pPr>
        <w:pStyle w:val="CaptionedFigure"/>
      </w:pPr>
      <w:bookmarkStart w:id="24" w:name="fig:001"/>
      <w:r>
        <w:drawing>
          <wp:inline>
            <wp:extent cx="5334000" cy="740572"/>
            <wp:effectExtent b="0" l="0" r="0" t="0"/>
            <wp:docPr descr="Рис. 1: Создание необходимых файл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необходимых файлов</w:t>
      </w:r>
    </w:p>
    <w:p>
      <w:pPr>
        <w:numPr>
          <w:ilvl w:val="0"/>
          <w:numId w:val="1002"/>
        </w:numPr>
        <w:pStyle w:val="Compact"/>
      </w:pPr>
      <w:r>
        <w:t xml:space="preserve">Рассмотрим программу вычисления арифмитических выражения с помощью подпрограммы ’_calcul’. (рис. 2), (рис. 3)</w:t>
      </w:r>
    </w:p>
    <w:p>
      <w:pPr>
        <w:pStyle w:val="CaptionedFigure"/>
      </w:pPr>
      <w:bookmarkStart w:id="28" w:name="fig:002"/>
      <w:r>
        <w:drawing>
          <wp:inline>
            <wp:extent cx="3632200" cy="11696700"/>
            <wp:effectExtent b="0" l="0" r="0" t="0"/>
            <wp:docPr descr="Рис. 2: Текст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169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</w:t>
      </w:r>
    </w:p>
    <w:p>
      <w:pPr>
        <w:pStyle w:val="CaptionedFigure"/>
      </w:pPr>
      <w:bookmarkStart w:id="32" w:name="fig:003"/>
      <w:r>
        <w:drawing>
          <wp:inline>
            <wp:extent cx="5334000" cy="839544"/>
            <wp:effectExtent b="0" l="0" r="0" t="0"/>
            <wp:docPr descr="Рис. 3: Результат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Результат программы</w:t>
      </w:r>
    </w:p>
    <w:p>
      <w:pPr>
        <w:numPr>
          <w:ilvl w:val="0"/>
          <w:numId w:val="1003"/>
        </w:numPr>
        <w:pStyle w:val="Compact"/>
      </w:pPr>
      <w:r>
        <w:t xml:space="preserve">Изменим программу, при этом добавим подпрограмму g(x)=3x-1. (рис. 4), (рис. 5), (рис. 6)</w:t>
      </w:r>
    </w:p>
    <w:p>
      <w:pPr>
        <w:pStyle w:val="CaptionedFigure"/>
      </w:pPr>
      <w:bookmarkStart w:id="36" w:name="fig:004"/>
      <w:r>
        <w:drawing>
          <wp:inline>
            <wp:extent cx="3556000" cy="2298700"/>
            <wp:effectExtent b="0" l="0" r="0" t="0"/>
            <wp:docPr descr="Рис. 4: Изменение программ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Изменение программы</w:t>
      </w:r>
    </w:p>
    <w:p>
      <w:pPr>
        <w:pStyle w:val="CaptionedFigure"/>
      </w:pPr>
      <w:bookmarkStart w:id="40" w:name="fig:005"/>
      <w:r>
        <w:drawing>
          <wp:inline>
            <wp:extent cx="3556000" cy="2298700"/>
            <wp:effectExtent b="0" l="0" r="0" t="0"/>
            <wp:docPr descr="Рис. 5: Изменение программ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Изменение программы</w:t>
      </w:r>
    </w:p>
    <w:p>
      <w:pPr>
        <w:pStyle w:val="CaptionedFigure"/>
      </w:pPr>
      <w:bookmarkStart w:id="44" w:name="fig:006"/>
      <w:r>
        <w:drawing>
          <wp:inline>
            <wp:extent cx="5334000" cy="1480848"/>
            <wp:effectExtent b="0" l="0" r="0" t="0"/>
            <wp:docPr descr="Рис. 6: Результат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Программа работает корректно. При х=1 имеем, что g(x)=2, а f(x)=11.</w:t>
      </w:r>
    </w:p>
    <w:p>
      <w:pPr>
        <w:numPr>
          <w:ilvl w:val="0"/>
          <w:numId w:val="1004"/>
        </w:numPr>
        <w:pStyle w:val="Compact"/>
      </w:pPr>
      <w:r>
        <w:t xml:space="preserve">Создаём файл для второго листинга. Напишем программу печати сообщения Hello world!. (рис. 7), (рис. 8)</w:t>
      </w:r>
    </w:p>
    <w:p>
      <w:pPr>
        <w:pStyle w:val="CaptionedFigure"/>
      </w:pPr>
      <w:bookmarkStart w:id="48" w:name="fig:007"/>
      <w:r>
        <w:drawing>
          <wp:inline>
            <wp:extent cx="5334000" cy="232544"/>
            <wp:effectExtent b="0" l="0" r="0" t="0"/>
            <wp:docPr descr="Рис. 7: Создание фай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файла</w:t>
      </w:r>
    </w:p>
    <w:p>
      <w:pPr>
        <w:pStyle w:val="CaptionedFigure"/>
      </w:pPr>
      <w:bookmarkStart w:id="52" w:name="fig:008"/>
      <w:r>
        <w:drawing>
          <wp:inline>
            <wp:extent cx="4330700" cy="7874000"/>
            <wp:effectExtent b="0" l="0" r="0" t="0"/>
            <wp:docPr descr="Рис. 8: Текст программы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78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Текст программы</w:t>
      </w:r>
    </w:p>
    <w:p>
      <w:pPr>
        <w:pStyle w:val="BodyText"/>
      </w:pPr>
      <w:r>
        <w:t xml:space="preserve">Затем получаем исполняемый файл. Для работы с GDB нужно добавить отладочную информация, для этого трансляцию программы необходимо проводить с ключом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Загружаем исполняемый файл в отладчик. (рис. 9)</w:t>
      </w:r>
    </w:p>
    <w:p>
      <w:pPr>
        <w:pStyle w:val="CaptionedFigure"/>
      </w:pPr>
      <w:bookmarkStart w:id="56" w:name="fig:009"/>
      <w:r>
        <w:drawing>
          <wp:inline>
            <wp:extent cx="5334000" cy="507677"/>
            <wp:effectExtent b="0" l="0" r="0" t="0"/>
            <wp:docPr descr="Рис. 9: Компиляция программы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Компиляция программы</w:t>
      </w:r>
    </w:p>
    <w:p>
      <w:pPr>
        <w:pStyle w:val="BodyText"/>
      </w:pPr>
      <w:r>
        <w:t xml:space="preserve">Проверим работу программы, запускаем её в оболочке GDB с помощью комнады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. (рис. 10)</w:t>
      </w:r>
    </w:p>
    <w:p>
      <w:pPr>
        <w:pStyle w:val="CaptionedFigure"/>
      </w:pPr>
      <w:bookmarkStart w:id="60" w:name="fig:010"/>
      <w:r>
        <w:drawing>
          <wp:inline>
            <wp:extent cx="5334000" cy="963670"/>
            <wp:effectExtent b="0" l="0" r="0" t="0"/>
            <wp:docPr descr="Рис. 10: Проверка работы программ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Проверка работы программы</w:t>
      </w:r>
    </w:p>
    <w:p>
      <w:pPr>
        <w:pStyle w:val="BodyText"/>
      </w:pPr>
      <w:r>
        <w:t xml:space="preserve">Затем установим брейкпоинт на метку _start, с которой начинается выполнение программы и запусим её. (рис. 11)</w:t>
      </w:r>
    </w:p>
    <w:p>
      <w:pPr>
        <w:pStyle w:val="CaptionedFigure"/>
      </w:pPr>
      <w:bookmarkStart w:id="64" w:name="fig:011"/>
      <w:r>
        <w:drawing>
          <wp:inline>
            <wp:extent cx="5334000" cy="1400276"/>
            <wp:effectExtent b="0" l="0" r="0" t="0"/>
            <wp:docPr descr="Рис. 11: Установка брейкпоинт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Установка брейкпоинта</w:t>
      </w:r>
    </w:p>
    <w:p>
      <w:pPr>
        <w:pStyle w:val="BodyText"/>
      </w:pPr>
      <w:r>
        <w:t xml:space="preserve">Далее просмотрим дисассимблированный код программы с помощью команды disassemble начиная с метки _start. (рис. 12)</w:t>
      </w:r>
    </w:p>
    <w:p>
      <w:pPr>
        <w:pStyle w:val="CaptionedFigure"/>
      </w:pPr>
      <w:bookmarkStart w:id="68" w:name="fig:012"/>
      <w:r>
        <w:drawing>
          <wp:inline>
            <wp:extent cx="5334000" cy="4459573"/>
            <wp:effectExtent b="0" l="0" r="0" t="0"/>
            <wp:docPr descr="Рис. 12: Дисассимбилированный код программ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Дисассимбилированный код программы</w:t>
      </w:r>
    </w:p>
    <w:p>
      <w:pPr>
        <w:pStyle w:val="BodyText"/>
      </w:pPr>
      <w:r>
        <w:t xml:space="preserve">Переключимся на отображение команд с Intel’овским синтаксисом с помощью команды set disassembly-flavor intel. (рис. 13)</w:t>
      </w:r>
    </w:p>
    <w:p>
      <w:pPr>
        <w:pStyle w:val="CaptionedFigure"/>
      </w:pPr>
      <w:bookmarkStart w:id="72" w:name="fig:013"/>
      <w:r>
        <w:drawing>
          <wp:inline>
            <wp:extent cx="5334000" cy="4573751"/>
            <wp:effectExtent b="0" l="0" r="0" t="0"/>
            <wp:docPr descr="Рис. 13: Переключение на другой синтаксис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Переключение на другой синтаксис</w:t>
      </w:r>
    </w:p>
    <w:p>
      <w:pPr>
        <w:pStyle w:val="BodyText"/>
      </w:pPr>
      <w:r>
        <w:t xml:space="preserve">Для более удобного анализа программы включаем режим псевдографики.(рис. 14)</w:t>
      </w:r>
    </w:p>
    <w:p>
      <w:pPr>
        <w:pStyle w:val="CaptionedFigure"/>
      </w:pPr>
      <w:bookmarkStart w:id="76" w:name="fig:014"/>
      <w:r>
        <w:drawing>
          <wp:inline>
            <wp:extent cx="5334000" cy="3184368"/>
            <wp:effectExtent b="0" l="0" r="0" t="0"/>
            <wp:docPr descr="Рис. 14: Режим псевдографики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Режим псевдографики</w:t>
      </w:r>
    </w:p>
    <w:p>
      <w:pPr>
        <w:pStyle w:val="BodyText"/>
      </w:pPr>
      <w:r>
        <w:t xml:space="preserve">В этом режиме имеем три окна:</w:t>
      </w:r>
      <w:r>
        <w:t xml:space="preserve"> </w:t>
      </w:r>
      <w:r>
        <w:t xml:space="preserve">- В верхней части названия регистров и их текущее значения</w:t>
      </w:r>
      <w:r>
        <w:t xml:space="preserve"> </w:t>
      </w:r>
      <w:r>
        <w:t xml:space="preserve">- В среденй части виден результат дисассимилирования программы</w:t>
      </w:r>
      <w:r>
        <w:t xml:space="preserve"> </w:t>
      </w:r>
      <w:r>
        <w:t xml:space="preserve">- Нижняя часть доступная для ввода команд</w:t>
      </w:r>
    </w:p>
    <w:p>
      <w:pPr>
        <w:pStyle w:val="BodyText"/>
      </w:pPr>
      <w:r>
        <w:t xml:space="preserve">Основные различия синтаксиса машинных команд в режимах ATT и Intel заключаются в том, что в синтаксисе Intel не используются символы $ и %, а так же операнды меняются местами.</w:t>
      </w:r>
    </w:p>
    <w:p>
      <w:pPr>
        <w:numPr>
          <w:ilvl w:val="0"/>
          <w:numId w:val="1005"/>
        </w:numPr>
        <w:pStyle w:val="Compact"/>
      </w:pPr>
      <w:r>
        <w:t xml:space="preserve">Для проверки точек останова используем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. (рис. 15)</w:t>
      </w:r>
    </w:p>
    <w:p>
      <w:pPr>
        <w:pStyle w:val="CaptionedFigure"/>
      </w:pPr>
      <w:bookmarkStart w:id="80" w:name="fig:015"/>
      <w:r>
        <w:drawing>
          <wp:inline>
            <wp:extent cx="5334000" cy="1037371"/>
            <wp:effectExtent b="0" l="0" r="0" t="0"/>
            <wp:docPr descr="Рис. 15: Проверка точек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Проверка точек</w:t>
      </w:r>
    </w:p>
    <w:p>
      <w:pPr>
        <w:pStyle w:val="BodyText"/>
      </w:pPr>
      <w:r>
        <w:t xml:space="preserve">Установим ещё одну точку останова по адресу интрукции (ebx, 0x0). (рис. 16)</w:t>
      </w:r>
    </w:p>
    <w:p>
      <w:pPr>
        <w:pStyle w:val="CaptionedFigure"/>
      </w:pPr>
      <w:bookmarkStart w:id="84" w:name="fig:016"/>
      <w:r>
        <w:drawing>
          <wp:inline>
            <wp:extent cx="5334000" cy="388470"/>
            <wp:effectExtent b="0" l="0" r="0" t="0"/>
            <wp:docPr descr="Рис. 16: Новая точка останов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Новая точка останова</w:t>
      </w:r>
    </w:p>
    <w:p>
      <w:pPr>
        <w:pStyle w:val="CaptionedFigure"/>
      </w:pPr>
      <w:bookmarkStart w:id="88" w:name="fig:017"/>
      <w:r>
        <w:drawing>
          <wp:inline>
            <wp:extent cx="5334000" cy="868680"/>
            <wp:effectExtent b="0" l="0" r="0" t="0"/>
            <wp:docPr descr="Рис. 17: Точки останов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Точки останова</w:t>
      </w:r>
    </w:p>
    <w:p>
      <w:pPr>
        <w:numPr>
          <w:ilvl w:val="0"/>
          <w:numId w:val="1006"/>
        </w:numPr>
        <w:pStyle w:val="Compact"/>
      </w:pPr>
      <w:r>
        <w:t xml:space="preserve">Выполним 5 инструкций с помощью команды</w:t>
      </w:r>
      <w:r>
        <w:t xml:space="preserve"> </w:t>
      </w:r>
      <w:r>
        <w:t xml:space="preserve">“</w:t>
      </w:r>
      <w:r>
        <w:t xml:space="preserve">stepi</w:t>
      </w:r>
      <w:r>
        <w:t xml:space="preserve">”</w:t>
      </w:r>
      <w:r>
        <w:t xml:space="preserve"> </w:t>
      </w:r>
      <w:r>
        <w:t xml:space="preserve">и проследим значение регистров.(рис. 18). Как мы можем заметить, изменяются значения регистров eax, ebx, ecx, edx.</w:t>
      </w:r>
    </w:p>
    <w:p>
      <w:pPr>
        <w:pStyle w:val="CaptionedFigure"/>
      </w:pPr>
      <w:bookmarkStart w:id="92" w:name="fig:018"/>
      <w:r>
        <w:drawing>
          <wp:inline>
            <wp:extent cx="5334000" cy="3910124"/>
            <wp:effectExtent b="0" l="0" r="0" t="0"/>
            <wp:docPr descr="Рис. 18: Инструкция stepi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Инструкция stepi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info registers</w:t>
      </w:r>
      <w:r>
        <w:t xml:space="preserve">’</w:t>
      </w:r>
      <w:r>
        <w:t xml:space="preserve"> </w:t>
      </w:r>
      <w:r>
        <w:t xml:space="preserve">(i r) позволяет посмтреть содержимое регистров. (рис. 19)</w:t>
      </w:r>
    </w:p>
    <w:p>
      <w:pPr>
        <w:pStyle w:val="CaptionedFigure"/>
      </w:pPr>
      <w:bookmarkStart w:id="96" w:name="fig:019"/>
      <w:r>
        <w:drawing>
          <wp:inline>
            <wp:extent cx="5334000" cy="1300254"/>
            <wp:effectExtent b="0" l="0" r="0" t="0"/>
            <wp:docPr descr="Рис. 19: Просмотр регистров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Просмотр регистров</w:t>
      </w:r>
    </w:p>
    <w:p>
      <w:pPr>
        <w:pStyle w:val="BodyText"/>
      </w:pPr>
      <w:r>
        <w:t xml:space="preserve">Команду</w:t>
      </w:r>
      <w:r>
        <w:t xml:space="preserve"> </w:t>
      </w:r>
      <w:r>
        <w:t xml:space="preserve">‘</w:t>
      </w:r>
      <w:r>
        <w:t xml:space="preserve">x</w:t>
      </w:r>
      <w:r>
        <w:t xml:space="preserve"> </w:t>
      </w:r>
      <w:r>
        <w:t xml:space="preserve">’</w:t>
      </w:r>
      <w:r>
        <w:t xml:space="preserve"> </w:t>
      </w:r>
      <w:r>
        <w:t xml:space="preserve">можно использовать для отображения памяти. С помощью</w:t>
      </w:r>
      <w:r>
        <w:t xml:space="preserve"> </w:t>
      </w:r>
      <w:r>
        <w:t xml:space="preserve">‘</w:t>
      </w:r>
      <w:r>
        <w:t xml:space="preserve">x &amp;</w:t>
      </w:r>
      <w:r>
        <w:t xml:space="preserve">’</w:t>
      </w:r>
      <w:r>
        <w:t xml:space="preserve"> </w:t>
      </w:r>
      <w:r>
        <w:t xml:space="preserve">так же можно это сделать.(рис. 20)</w:t>
      </w:r>
    </w:p>
    <w:p>
      <w:pPr>
        <w:pStyle w:val="CaptionedFigure"/>
      </w:pPr>
      <w:bookmarkStart w:id="100" w:name="fig:020"/>
      <w:r>
        <w:drawing>
          <wp:inline>
            <wp:extent cx="5334000" cy="933450"/>
            <wp:effectExtent b="0" l="0" r="0" t="0"/>
            <wp:docPr descr="Рис. 20: Содержимое памяти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Содержимое памяти</w:t>
      </w:r>
    </w:p>
    <w:p>
      <w:pPr>
        <w:pStyle w:val="BodyText"/>
      </w:pPr>
      <w:r>
        <w:t xml:space="preserve">Далее воспользуемся комнадой</w:t>
      </w:r>
      <w:r>
        <w:t xml:space="preserve"> </w:t>
      </w:r>
      <w:r>
        <w:t xml:space="preserve">‘</w:t>
      </w:r>
      <w:r>
        <w:t xml:space="preserve">sПриобрести навыки написания программ с использованием подпрограмм. познакомиться с методами отладки при помощи GDB и его основными возможностями.et</w:t>
      </w:r>
      <w:r>
        <w:t xml:space="preserve">’</w:t>
      </w:r>
      <w:r>
        <w:t xml:space="preserve">, которая помогает изменить значение для регистра и ячейки. (рис. 21), (рис. 22)</w:t>
      </w:r>
    </w:p>
    <w:p>
      <w:pPr>
        <w:pStyle w:val="CaptionedFigure"/>
      </w:pPr>
      <w:bookmarkStart w:id="104" w:name="fig:021"/>
      <w:r>
        <w:drawing>
          <wp:inline>
            <wp:extent cx="5334000" cy="1256527"/>
            <wp:effectExtent b="0" l="0" r="0" t="0"/>
            <wp:docPr descr="Рис. 21: Изменение значения регистров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Изменение значения регистров</w:t>
      </w:r>
    </w:p>
    <w:p>
      <w:pPr>
        <w:pStyle w:val="CaptionedFigure"/>
      </w:pPr>
      <w:bookmarkStart w:id="108" w:name="fig:022"/>
      <w:r>
        <w:drawing>
          <wp:inline>
            <wp:extent cx="5334000" cy="739448"/>
            <wp:effectExtent b="0" l="0" r="0" t="0"/>
            <wp:docPr descr="Рис. 22: Изменение значения регистров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Изменение значения регистров</w:t>
      </w:r>
    </w:p>
    <w:p>
      <w:pPr>
        <w:pStyle w:val="BodyText"/>
      </w:pPr>
      <w:r>
        <w:t xml:space="preserve">Для просмотра значений используем команду</w:t>
      </w:r>
      <w:r>
        <w:t xml:space="preserve"> </w:t>
      </w:r>
      <w:r>
        <w:t xml:space="preserve">‘</w:t>
      </w:r>
      <w:r>
        <w:t xml:space="preserve">print /F</w:t>
      </w:r>
      <w:r>
        <w:t xml:space="preserve"> </w:t>
      </w:r>
      <w:r>
        <w:t xml:space="preserve">’</w:t>
      </w:r>
      <w:r>
        <w:t xml:space="preserve">. (рис. 23)</w:t>
      </w:r>
    </w:p>
    <w:p>
      <w:pPr>
        <w:pStyle w:val="CaptionedFigure"/>
      </w:pPr>
      <w:bookmarkStart w:id="112" w:name="fig:023"/>
      <w:r>
        <w:drawing>
          <wp:inline>
            <wp:extent cx="5334000" cy="1658540"/>
            <wp:effectExtent b="0" l="0" r="0" t="0"/>
            <wp:docPr descr="Рис. 23: Просмотр значений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Просмотр значений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можем изменить значение регистра. Изменим значения регистра</w:t>
      </w:r>
      <w:r>
        <w:t xml:space="preserve"> </w:t>
      </w:r>
      <w:r>
        <w:t xml:space="preserve">‘</w:t>
      </w:r>
      <w:r>
        <w:t xml:space="preserve">ebx</w:t>
      </w:r>
      <w:r>
        <w:t xml:space="preserve">’</w:t>
      </w:r>
      <w:r>
        <w:t xml:space="preserve">. (рис. 24)</w:t>
      </w:r>
    </w:p>
    <w:p>
      <w:pPr>
        <w:pStyle w:val="CaptionedFigure"/>
      </w:pPr>
      <w:bookmarkStart w:id="116" w:name="fig:024"/>
      <w:r>
        <w:drawing>
          <wp:inline>
            <wp:extent cx="5334000" cy="1312598"/>
            <wp:effectExtent b="0" l="0" r="0" t="0"/>
            <wp:docPr descr="Рис. 24: Изменение регистра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Изменение регистра</w:t>
      </w:r>
    </w:p>
    <w:p>
      <w:pPr>
        <w:pStyle w:val="BodyText"/>
      </w:pPr>
      <w:r>
        <w:t xml:space="preserve">Основное различие в том, что код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- 110010, а это есть число 50.</w:t>
      </w:r>
    </w:p>
    <w:p>
      <w:pPr>
        <w:pStyle w:val="BodyText"/>
      </w:pPr>
      <w:r>
        <w:t xml:space="preserve">Завершим выполнение программы с помощью команды</w:t>
      </w:r>
      <w:r>
        <w:t xml:space="preserve"> </w:t>
      </w:r>
      <w:r>
        <w:t xml:space="preserve">‘</w:t>
      </w:r>
      <w:r>
        <w:t xml:space="preserve">continue</w:t>
      </w:r>
      <w:r>
        <w:t xml:space="preserve">’</w:t>
      </w:r>
      <w:r>
        <w:t xml:space="preserve"> </w:t>
      </w:r>
      <w:r>
        <w:t xml:space="preserve">и выйдем из отдладчика с помощью команды</w:t>
      </w:r>
      <w:r>
        <w:t xml:space="preserve"> </w:t>
      </w:r>
      <w:r>
        <w:t xml:space="preserve">‘</w:t>
      </w:r>
      <w:r>
        <w:t xml:space="preserve">q</w:t>
      </w:r>
      <w:r>
        <w:t xml:space="preserve">’</w:t>
      </w:r>
      <w:r>
        <w:t xml:space="preserve">. (рис. 25)</w:t>
      </w:r>
    </w:p>
    <w:p>
      <w:pPr>
        <w:pStyle w:val="CaptionedFigure"/>
      </w:pPr>
      <w:bookmarkStart w:id="120" w:name="fig:025"/>
      <w:r>
        <w:drawing>
          <wp:inline>
            <wp:extent cx="5334000" cy="767962"/>
            <wp:effectExtent b="0" l="0" r="0" t="0"/>
            <wp:docPr descr="Рис. 25: Завершение программы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Завершение программы</w:t>
      </w:r>
    </w:p>
    <w:p>
      <w:pPr>
        <w:numPr>
          <w:ilvl w:val="0"/>
          <w:numId w:val="1007"/>
        </w:numPr>
        <w:pStyle w:val="Compact"/>
      </w:pPr>
      <w:r>
        <w:t xml:space="preserve">Копируем файл из лабораторной работы №9 с новым именем.(рис. 26)</w:t>
      </w:r>
    </w:p>
    <w:p>
      <w:pPr>
        <w:pStyle w:val="CaptionedFigure"/>
      </w:pPr>
      <w:bookmarkStart w:id="124" w:name="fig:026"/>
      <w:r>
        <w:drawing>
          <wp:inline>
            <wp:extent cx="5334000" cy="1054066"/>
            <wp:effectExtent b="0" l="0" r="0" t="0"/>
            <wp:docPr descr="Рис. 26: Копирование файла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Копирование файла</w:t>
      </w:r>
    </w:p>
    <w:p>
      <w:pPr>
        <w:pStyle w:val="BodyText"/>
      </w:pPr>
      <w:r>
        <w:t xml:space="preserve">Далее создаём имполняемый файл. (рис. 27)</w:t>
      </w:r>
    </w:p>
    <w:p>
      <w:pPr>
        <w:pStyle w:val="CaptionedFigure"/>
      </w:pPr>
      <w:bookmarkStart w:id="128" w:name="fig:027"/>
      <w:r>
        <w:drawing>
          <wp:inline>
            <wp:extent cx="5334000" cy="1054066"/>
            <wp:effectExtent b="0" l="0" r="0" t="0"/>
            <wp:docPr descr="Рис. 27: Создание исполняемого файла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–args.(рис. 28)</w:t>
      </w:r>
    </w:p>
    <w:p>
      <w:pPr>
        <w:pStyle w:val="CaptionedFigure"/>
      </w:pPr>
      <w:bookmarkStart w:id="132" w:name="fig:028"/>
      <w:r>
        <w:drawing>
          <wp:inline>
            <wp:extent cx="5334000" cy="1180147"/>
            <wp:effectExtent b="0" l="0" r="0" t="0"/>
            <wp:docPr descr="Рис. 28: Загрузка в GDB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Загрузка в GDB</w:t>
      </w:r>
    </w:p>
    <w:p>
      <w:pPr>
        <w:pStyle w:val="BodyText"/>
      </w:pPr>
      <w:r>
        <w:t xml:space="preserve">Затем исследуем расположение аргументов командной строки. Для начала установим точку останова и запстим команду. (рис. 29)</w:t>
      </w:r>
    </w:p>
    <w:p>
      <w:pPr>
        <w:pStyle w:val="CaptionedFigure"/>
      </w:pPr>
      <w:bookmarkStart w:id="136" w:name="fig:029"/>
      <w:r>
        <w:drawing>
          <wp:inline>
            <wp:extent cx="5334000" cy="1091045"/>
            <wp:effectExtent b="0" l="0" r="0" t="0"/>
            <wp:docPr descr="Рис. 29: Точка останова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Точка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строки. (рис. 30)</w:t>
      </w:r>
    </w:p>
    <w:p>
      <w:pPr>
        <w:pStyle w:val="CaptionedFigure"/>
      </w:pPr>
      <w:bookmarkStart w:id="140" w:name="fig:030"/>
      <w:r>
        <w:drawing>
          <wp:inline>
            <wp:extent cx="5334000" cy="288735"/>
            <wp:effectExtent b="0" l="0" r="0" t="0"/>
            <wp:docPr descr="Рис. 30: Адрес вершины стек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Адрес вершины стека</w:t>
      </w:r>
    </w:p>
    <w:p>
      <w:pPr>
        <w:pStyle w:val="BodyText"/>
      </w:pPr>
      <w:r>
        <w:t xml:space="preserve">Посмотрим остальные позиции стека – по адесу [esp+4]. Адрес располагается в памяти где находиться имя программы, по адесу [esp+8] храниться адрес первого аргумента, по аресу [esp+12] – второго и т.д. (рис. 31)</w:t>
      </w:r>
    </w:p>
    <w:p>
      <w:pPr>
        <w:pStyle w:val="CaptionedFigure"/>
      </w:pPr>
      <w:bookmarkStart w:id="144" w:name="fig:031"/>
      <w:r>
        <w:drawing>
          <wp:inline>
            <wp:extent cx="5334000" cy="1726834"/>
            <wp:effectExtent b="0" l="0" r="0" t="0"/>
            <wp:docPr descr="Рис. 31: Позиции стек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Позиции стека</w:t>
      </w:r>
    </w:p>
    <w:p>
      <w:pPr>
        <w:pStyle w:val="BodyText"/>
      </w:pPr>
      <w:r>
        <w:t xml:space="preserve">В данном случае шаг изменения адреса равен 4 ([esp+4], [esp+8], [esp+12] и тд.) т.к. в теле цикла next 4 строки ввода.</w:t>
      </w:r>
    </w:p>
    <w:p>
      <w:pPr>
        <w:pStyle w:val="BodyText"/>
      </w:pPr>
      <w:r>
        <w:t xml:space="preserve">#Задания для самостоятельной работы.</w:t>
      </w:r>
    </w:p>
    <w:p>
      <w:pPr>
        <w:numPr>
          <w:ilvl w:val="0"/>
          <w:numId w:val="1008"/>
        </w:numPr>
        <w:pStyle w:val="Compact"/>
      </w:pPr>
      <w:r>
        <w:t xml:space="preserve">Копируем файл из 9 лабораторной работы. (рис. 32)</w:t>
      </w:r>
    </w:p>
    <w:p>
      <w:pPr>
        <w:pStyle w:val="CaptionedFigure"/>
      </w:pPr>
      <w:bookmarkStart w:id="148" w:name="fig:032"/>
      <w:r>
        <w:drawing>
          <wp:inline>
            <wp:extent cx="5334000" cy="1238501"/>
            <wp:effectExtent b="0" l="0" r="0" t="0"/>
            <wp:docPr descr="Рис. 32: Копирование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 Копирование файла</w:t>
      </w:r>
    </w:p>
    <w:p>
      <w:pPr>
        <w:pStyle w:val="BodyText"/>
      </w:pPr>
      <w:r>
        <w:t xml:space="preserve">Изменим программу из 9 лабораторной с использованием подпрограмм и запустим её. (рис. 33)</w:t>
      </w:r>
    </w:p>
    <w:p>
      <w:pPr>
        <w:pStyle w:val="CaptionedFigure"/>
      </w:pPr>
      <w:bookmarkStart w:id="152" w:name="fig:033"/>
      <w:r>
        <w:drawing>
          <wp:inline>
            <wp:extent cx="3098800" cy="8039100"/>
            <wp:effectExtent b="0" l="0" r="0" t="0"/>
            <wp:docPr descr="Рис. 33: Текст программы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 Текст программы</w:t>
      </w:r>
    </w:p>
    <w:p>
      <w:pPr>
        <w:pStyle w:val="CaptionedFigure"/>
      </w:pPr>
      <w:bookmarkStart w:id="156" w:name="fig:034"/>
      <w:r>
        <w:drawing>
          <wp:inline>
            <wp:extent cx="2654300" cy="4483100"/>
            <wp:effectExtent b="0" l="0" r="0" t="0"/>
            <wp:docPr descr="Рис. 34: Текст прогарммы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 Текст прогарммы</w:t>
      </w:r>
    </w:p>
    <w:p>
      <w:pPr>
        <w:pStyle w:val="CaptionedFigure"/>
      </w:pPr>
      <w:bookmarkStart w:id="160" w:name="fig:035"/>
      <w:r>
        <w:drawing>
          <wp:inline>
            <wp:extent cx="5334000" cy="1166601"/>
            <wp:effectExtent b="0" l="0" r="0" t="0"/>
            <wp:docPr descr="Рис. 35: Проверка файла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35: Проверка файла</w:t>
      </w:r>
    </w:p>
    <w:p>
      <w:pPr>
        <w:numPr>
          <w:ilvl w:val="0"/>
          <w:numId w:val="1009"/>
        </w:numPr>
        <w:pStyle w:val="Compact"/>
      </w:pPr>
      <w:r>
        <w:t xml:space="preserve">Напишем программу из листинга лабораторной работы. Проверяем работу с помощью отладчика.(рис. 36), (рис. 37)</w:t>
      </w:r>
    </w:p>
    <w:p>
      <w:pPr>
        <w:pStyle w:val="CaptionedFigure"/>
      </w:pPr>
      <w:bookmarkStart w:id="164" w:name="fig:036"/>
      <w:r>
        <w:drawing>
          <wp:inline>
            <wp:extent cx="3098800" cy="7404100"/>
            <wp:effectExtent b="0" l="0" r="0" t="0"/>
            <wp:docPr descr="Рис. 36: Текст программы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740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36: Текст программы</w:t>
      </w:r>
    </w:p>
    <w:p>
      <w:pPr>
        <w:pStyle w:val="CaptionedFigure"/>
      </w:pPr>
      <w:bookmarkStart w:id="168" w:name="fig:037"/>
      <w:r>
        <w:drawing>
          <wp:inline>
            <wp:extent cx="5334000" cy="627529"/>
            <wp:effectExtent b="0" l="0" r="0" t="0"/>
            <wp:docPr descr="Рис. 37: Результат программы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37: Результат программы</w:t>
      </w:r>
    </w:p>
    <w:p>
      <w:pPr>
        <w:pStyle w:val="BodyText"/>
      </w:pPr>
      <w:r>
        <w:t xml:space="preserve">Видим, что результат программы неверный, т.к (3+2)*4+5=25, а не 10. Для устранения ошбики запускаем отладчик.(38)</w:t>
      </w:r>
    </w:p>
    <w:p>
      <w:pPr>
        <w:pStyle w:val="CaptionedFigure"/>
      </w:pPr>
      <w:bookmarkStart w:id="172" w:name="fig:038"/>
      <w:r>
        <w:drawing>
          <wp:inline>
            <wp:extent cx="5334000" cy="1248382"/>
            <wp:effectExtent b="0" l="0" r="0" t="0"/>
            <wp:docPr descr="Рис. 38: GDB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38: GDB</w:t>
      </w:r>
    </w:p>
    <w:p>
      <w:pPr>
        <w:pStyle w:val="BodyText"/>
      </w:pPr>
      <w:r>
        <w:t xml:space="preserve">Установим точку останова. (рис. 39)</w:t>
      </w:r>
    </w:p>
    <w:p>
      <w:pPr>
        <w:pStyle w:val="CaptionedFigure"/>
      </w:pPr>
      <w:bookmarkStart w:id="176" w:name="fig:039"/>
      <w:r>
        <w:drawing>
          <wp:inline>
            <wp:extent cx="5334000" cy="953981"/>
            <wp:effectExtent b="0" l="0" r="0" t="0"/>
            <wp:docPr descr="Рис. 39: Точка останова" title="" id="174" name="Picture"/>
            <a:graphic>
              <a:graphicData uri="http://schemas.openxmlformats.org/drawingml/2006/picture">
                <pic:pic>
                  <pic:nvPicPr>
                    <pic:cNvPr descr="image/3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Рис. 39: Точка останова</w:t>
      </w:r>
    </w:p>
    <w:p>
      <w:pPr>
        <w:pStyle w:val="BodyText"/>
      </w:pPr>
      <w:r>
        <w:t xml:space="preserve">Запускаем код программы.(рис. 40)</w:t>
      </w:r>
    </w:p>
    <w:p>
      <w:pPr>
        <w:pStyle w:val="CaptionedFigure"/>
      </w:pPr>
      <w:bookmarkStart w:id="180" w:name="fig:040"/>
      <w:r>
        <w:drawing>
          <wp:inline>
            <wp:extent cx="5334000" cy="821744"/>
            <wp:effectExtent b="0" l="0" r="0" t="0"/>
            <wp:docPr descr="Рис. 40: Запуск программы" title="" id="178" name="Picture"/>
            <a:graphic>
              <a:graphicData uri="http://schemas.openxmlformats.org/drawingml/2006/picture">
                <pic:pic>
                  <pic:nvPicPr>
                    <pic:cNvPr descr="image/40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Рис. 40: Запуск программы</w:t>
      </w:r>
    </w:p>
    <w:p>
      <w:pPr>
        <w:pStyle w:val="BodyText"/>
      </w:pPr>
      <w:r>
        <w:t xml:space="preserve">Включаем режим псевдографики и пошагово проходим все строчки.(рис. 41)</w:t>
      </w:r>
    </w:p>
    <w:p>
      <w:pPr>
        <w:pStyle w:val="CaptionedFigure"/>
      </w:pPr>
      <w:bookmarkStart w:id="184" w:name="fig:041"/>
      <w:r>
        <w:drawing>
          <wp:inline>
            <wp:extent cx="5334000" cy="3885988"/>
            <wp:effectExtent b="0" l="0" r="0" t="0"/>
            <wp:docPr descr="Рис. 41: Проверка программы" title="" id="182" name="Picture"/>
            <a:graphic>
              <a:graphicData uri="http://schemas.openxmlformats.org/drawingml/2006/picture">
                <pic:pic>
                  <pic:nvPicPr>
                    <pic:cNvPr descr="image/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Рис. 41: Проверка программы</w:t>
      </w:r>
    </w:p>
    <w:p>
      <w:pPr>
        <w:pStyle w:val="BodyText"/>
      </w:pPr>
      <w:r>
        <w:t xml:space="preserve">Как мы можем заметить, регистр eax должен умножаться на 4, но у нас умножался регистр ebx. Также, число 5 прибавлялось не к произведению, а только к ebx. Исправим ошибки. рис. 42)</w:t>
      </w:r>
    </w:p>
    <w:p>
      <w:pPr>
        <w:pStyle w:val="CaptionedFigure"/>
      </w:pPr>
      <w:bookmarkStart w:id="188" w:name="fig:042"/>
      <w:r>
        <w:drawing>
          <wp:inline>
            <wp:extent cx="2171700" cy="2501900"/>
            <wp:effectExtent b="0" l="0" r="0" t="0"/>
            <wp:docPr descr="Рис. 42: Исправление ошибки" title="" id="186" name="Picture"/>
            <a:graphic>
              <a:graphicData uri="http://schemas.openxmlformats.org/drawingml/2006/picture">
                <pic:pic>
                  <pic:nvPicPr>
                    <pic:cNvPr descr="image/4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Рис. 42: Исправление ошибки</w:t>
      </w:r>
    </w:p>
    <w:p>
      <w:pPr>
        <w:pStyle w:val="CaptionedFigure"/>
      </w:pPr>
      <w:bookmarkStart w:id="192" w:name="fig:043"/>
      <w:r>
        <w:drawing>
          <wp:inline>
            <wp:extent cx="5334000" cy="636049"/>
            <wp:effectExtent b="0" l="0" r="0" t="0"/>
            <wp:docPr descr="Рис. 43: Проверка" title="" id="190" name="Picture"/>
            <a:graphic>
              <a:graphicData uri="http://schemas.openxmlformats.org/drawingml/2006/picture">
                <pic:pic>
                  <pic:nvPicPr>
                    <pic:cNvPr descr="image/4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43: Проверка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#Вывод</w:t>
      </w:r>
    </w:p>
    <w:p>
      <w:pPr>
        <w:pStyle w:val="BodyText"/>
      </w:pPr>
      <w:r>
        <w:t xml:space="preserve">В ходе выполнения данной лабороторной работы я преобрела навыки написания программ с использованием подпрограмм, а так же познакомилась с методами отладки при помощи GDB и его основными возможностями.</w:t>
      </w:r>
    </w:p>
    <w:bookmarkEnd w:id="1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33" Target="media/rId3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Сячинова Ксения Ивановна</dc:creator>
  <dc:language>ru-RU</dc:language>
  <cp:keywords/>
  <dcterms:created xsi:type="dcterms:W3CDTF">2022-12-15T11:44:18Z</dcterms:created>
  <dcterms:modified xsi:type="dcterms:W3CDTF">2022-12-15T11:44:18Z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Компьютерные науки и технология программирования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