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pPr>
      <w:r w:rsidDel="00000000" w:rsidR="00000000" w:rsidRPr="00000000">
        <w:rPr>
          <w:rFonts w:ascii="Arial" w:cs="Arial" w:eastAsia="Arial" w:hAnsi="Arial"/>
          <w:b w:val="1"/>
          <w:bCs w:val="1"/>
          <w:color w:val="7b2d8b"/>
          <w:sz w:val="36"/>
          <w:szCs w:val="36"/>
          <w:rtl w:val="0"/>
        </w:rPr>
        <w:t xml:space="preserve">Clinical Decision Making and Pattern Recognition in Health Care</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i w:val="1"/>
          <w:iCs w:val="1"/>
          <w:color w:val="595959"/>
          <w:sz w:val="24"/>
          <w:szCs w:val="24"/>
          <w:rtl w:val="0"/>
        </w:rPr>
        <w:t xml:space="preserve">Agentic Generative AI, Anomaly Detection, and the Path from Signal to Action</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Arial" w:cs="Arial" w:eastAsia="Arial" w:hAnsi="Arial"/>
          <w:color w:val="595959"/>
          <w:sz w:val="20"/>
          <w:szCs w:val="20"/>
          <w:rtl w:val="0"/>
        </w:rPr>
        <w:t xml:space="preserve">Prepared by Kshamaa Suresh  |  Columbia University  |  June 2026</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Arial" w:cs="Arial" w:eastAsia="Arial" w:hAnsi="Arial"/>
          <w:b w:val="1"/>
          <w:bCs w:val="1"/>
          <w:color w:val="7b2d8b"/>
          <w:rtl w:val="0"/>
        </w:rPr>
        <w:t xml:space="preserve">Defining the Concept</w:t>
      </w:r>
      <w:r w:rsidDel="00000000" w:rsidR="00000000" w:rsidRPr="00000000">
        <w:rPr>
          <w:rtl w:val="0"/>
        </w:rPr>
      </w:r>
    </w:p>
    <w:p w:rsidR="00000000" w:rsidDel="00000000" w:rsidP="00000000" w:rsidRDefault="00000000" w:rsidRPr="00000000" w14:paraId="00000005">
      <w:pPr>
        <w:spacing w:after="160" w:before="80" w:lineRule="auto"/>
        <w:rPr/>
      </w:pPr>
      <w:r w:rsidDel="00000000" w:rsidR="00000000" w:rsidRPr="00000000">
        <w:rPr>
          <w:rFonts w:ascii="Arial" w:cs="Arial" w:eastAsia="Arial" w:hAnsi="Arial"/>
          <w:sz w:val="22"/>
          <w:szCs w:val="22"/>
          <w:rtl w:val="0"/>
        </w:rPr>
        <w:t xml:space="preserve">I once planned to become a physician. The draw was not the prestige — it was the possibility of doing genuine good in the world, one patient at a time. I pivoted away from medicine, but the axis never changed. Today I build data-driven systems that do what a physician does at their best: look for patterns in complexity, surface what matters, and recommend action. That is what clinical decision making and pattern recognition in health care means to me — not a technical category, but a discipline with human consequences at its center.</w:t>
      </w:r>
      <w:r w:rsidDel="00000000" w:rsidR="00000000" w:rsidRPr="00000000">
        <w:rPr>
          <w:rtl w:val="0"/>
        </w:rPr>
      </w:r>
    </w:p>
    <w:p w:rsidR="00000000" w:rsidDel="00000000" w:rsidP="00000000" w:rsidRDefault="00000000" w:rsidRPr="00000000" w14:paraId="00000006">
      <w:pPr>
        <w:spacing w:after="160" w:before="80" w:lineRule="auto"/>
        <w:rPr/>
      </w:pPr>
      <w:r w:rsidDel="00000000" w:rsidR="00000000" w:rsidRPr="00000000">
        <w:rPr>
          <w:rFonts w:ascii="Arial" w:cs="Arial" w:eastAsia="Arial" w:hAnsi="Arial"/>
          <w:sz w:val="22"/>
          <w:szCs w:val="22"/>
          <w:rtl w:val="0"/>
        </w:rPr>
        <w:t xml:space="preserve">Clinical decision making is the process by which clinicians, administrators, and payers integrate data signals — patient history, diagnostic codes, treatment patterns, billing records, and operational metrics — to determine the best course of action. Pattern recognition is what makes that process scalable: identifying in large, complex datasets the signals that distinguish normal from anomalous, expected from concerning, appropriate from potentially fraudulent or wasteful. As Topol (2019) describes, the convergence of human and artificial intelligence in medicine creates an opportunity to extend clinical judgment beyond what any individual clinician can process, toward systems that operate at population scale while retaining clinical precision.</w:t>
      </w:r>
      <w:r w:rsidDel="00000000" w:rsidR="00000000" w:rsidRPr="00000000">
        <w:rPr>
          <w:rtl w:val="0"/>
        </w:rPr>
      </w:r>
    </w:p>
    <w:p w:rsidR="00000000" w:rsidDel="00000000" w:rsidP="00000000" w:rsidRDefault="00000000" w:rsidRPr="00000000" w14:paraId="00000007">
      <w:pPr>
        <w:spacing w:after="160" w:before="80" w:lineRule="auto"/>
        <w:rPr/>
      </w:pPr>
      <w:r w:rsidDel="00000000" w:rsidR="00000000" w:rsidRPr="00000000">
        <w:rPr>
          <w:rFonts w:ascii="Arial" w:cs="Arial" w:eastAsia="Arial" w:hAnsi="Arial"/>
          <w:sz w:val="22"/>
          <w:szCs w:val="22"/>
          <w:rtl w:val="0"/>
        </w:rPr>
        <w:t xml:space="preserve">For decades, surfacing these patterns required human experts reviewing records manually. Machine learning changed the first half of that equation — classification models, anomaly detectors, and time-series forecasters can now surface signals at scale that no human team could find in time (Rajpurkar et al., 2022). But surfacing a signal is not the same as acting on it. A model that flags a suspicious claim and stops there has only shifted the bottleneck. The analyst still has to read the flag, understand the reasoning, decide what to do, and execute the action.</w:t>
      </w:r>
      <w:r w:rsidDel="00000000" w:rsidR="00000000" w:rsidRPr="00000000">
        <w:rPr>
          <w:rtl w:val="0"/>
        </w:rPr>
      </w:r>
    </w:p>
    <w:p w:rsidR="00000000" w:rsidDel="00000000" w:rsidP="00000000" w:rsidRDefault="00000000" w:rsidRPr="00000000" w14:paraId="00000008">
      <w:pPr>
        <w:spacing w:after="160" w:before="80" w:lineRule="auto"/>
        <w:rPr/>
      </w:pPr>
      <w:r w:rsidDel="00000000" w:rsidR="00000000" w:rsidRPr="00000000">
        <w:rPr>
          <w:rFonts w:ascii="Arial" w:cs="Arial" w:eastAsia="Arial" w:hAnsi="Arial"/>
          <w:sz w:val="22"/>
          <w:szCs w:val="22"/>
          <w:rtl w:val="0"/>
        </w:rPr>
        <w:t xml:space="preserve">Agentic Generative AI closes this gap. An agent does not just classify — it reasons, explains, recommends, and acts. For an organization like Cotiviti, which operates at the intersection of treatment, payment, and operations for health plans serving millions of members, this distinction is not incremental. It is the difference between a tool that informs and a system that drives outcomes (Mahajan et al., 2022).</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Fonts w:ascii="Arial" w:cs="Arial" w:eastAsia="Arial" w:hAnsi="Arial"/>
          <w:b w:val="1"/>
          <w:bCs w:val="1"/>
          <w:color w:val="7b2d8b"/>
          <w:rtl w:val="0"/>
        </w:rPr>
        <w:t xml:space="preserve">Relevant Trends</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Fonts w:ascii="Arial" w:cs="Arial" w:eastAsia="Arial" w:hAnsi="Arial"/>
          <w:b w:val="1"/>
          <w:bCs w:val="1"/>
          <w:color w:val="444444"/>
          <w:rtl w:val="0"/>
        </w:rPr>
        <w:t xml:space="preserve">From Classifiers to Agents</w:t>
      </w:r>
      <w:r w:rsidDel="00000000" w:rsidR="00000000" w:rsidRPr="00000000">
        <w:rPr>
          <w:rtl w:val="0"/>
        </w:rPr>
      </w:r>
    </w:p>
    <w:p w:rsidR="00000000" w:rsidDel="00000000" w:rsidP="00000000" w:rsidRDefault="00000000" w:rsidRPr="00000000" w14:paraId="0000000B">
      <w:pPr>
        <w:spacing w:after="160" w:before="80" w:lineRule="auto"/>
        <w:rPr/>
      </w:pPr>
      <w:r w:rsidDel="00000000" w:rsidR="00000000" w:rsidRPr="00000000">
        <w:rPr>
          <w:rFonts w:ascii="Arial" w:cs="Arial" w:eastAsia="Arial" w:hAnsi="Arial"/>
          <w:sz w:val="22"/>
          <w:szCs w:val="22"/>
          <w:rtl w:val="0"/>
        </w:rPr>
        <w:t xml:space="preserve">The dominant trend in clinical AI is the shift from single-task classifiers toward multi-step reasoning agents. Large language models such as GPT-4, Claude, and Gemini have demonstrated the ability to reason over clinical text, explain anomalies in plain language, and generate structured recommendations grounded in retrieved evidence (Kung et al., 2023). When combined with retrieval-augmented generation (RAG) pipelines and tool-calling capabilities, these models can ingest a flagged claim, retrieve relevant billing policy, reason through the discrepancy, and output a structured decision with a rationale — all in seconds. Microsoft Research's GraphRAG framework (2024) has further demonstrated that knowledge graph-augmented retrieval substantially improves multi-hop reasoning over complex domain knowledge, directly applicable to payer policy interpretation.</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Fonts w:ascii="Arial" w:cs="Arial" w:eastAsia="Arial" w:hAnsi="Arial"/>
          <w:b w:val="1"/>
          <w:bCs w:val="1"/>
          <w:color w:val="444444"/>
          <w:rtl w:val="0"/>
        </w:rPr>
        <w:t xml:space="preserve">Time-Series Anomaly Detection at Operational Scale</w:t>
      </w:r>
      <w:r w:rsidDel="00000000" w:rsidR="00000000" w:rsidRPr="00000000">
        <w:rPr>
          <w:rtl w:val="0"/>
        </w:rPr>
      </w:r>
    </w:p>
    <w:p w:rsidR="00000000" w:rsidDel="00000000" w:rsidP="00000000" w:rsidRDefault="00000000" w:rsidRPr="00000000" w14:paraId="0000000D">
      <w:pPr>
        <w:spacing w:after="160" w:before="80" w:lineRule="auto"/>
        <w:rPr/>
      </w:pPr>
      <w:r w:rsidDel="00000000" w:rsidR="00000000" w:rsidRPr="00000000">
        <w:rPr>
          <w:rFonts w:ascii="Arial" w:cs="Arial" w:eastAsia="Arial" w:hAnsi="Arial"/>
          <w:sz w:val="22"/>
          <w:szCs w:val="22"/>
          <w:rtl w:val="0"/>
        </w:rPr>
        <w:t xml:space="preserve">Claims and utilization data are inherently temporal. A single high-cost procedure may be clinically appropriate; five such procedures from the same provider in one week against a baseline of zero may indicate upcoding, unbundling, or fraud. Modern anomaly detection frameworks — including isolation forests, LSTM autoencoders, and transformer-based sequence models — have made it possible to detect these time-series deviations in near real time. The Centers for Medicare and Medicaid Services (2024) estimated that $31 billion in improper payments were made in fiscal year 2023, a significant fraction of which involved patterns detectable through time-series analysis of claims sequences.</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Fonts w:ascii="Arial" w:cs="Arial" w:eastAsia="Arial" w:hAnsi="Arial"/>
          <w:b w:val="1"/>
          <w:bCs w:val="1"/>
          <w:color w:val="444444"/>
          <w:rtl w:val="0"/>
        </w:rPr>
        <w:t xml:space="preserve">Chain Reasoning and Explainability</w:t>
      </w:r>
      <w:r w:rsidDel="00000000" w:rsidR="00000000" w:rsidRPr="00000000">
        <w:rPr>
          <w:rtl w:val="0"/>
        </w:rPr>
      </w:r>
    </w:p>
    <w:p w:rsidR="00000000" w:rsidDel="00000000" w:rsidP="00000000" w:rsidRDefault="00000000" w:rsidRPr="00000000" w14:paraId="0000000F">
      <w:pPr>
        <w:spacing w:after="160" w:before="80" w:lineRule="auto"/>
        <w:rPr/>
      </w:pPr>
      <w:r w:rsidDel="00000000" w:rsidR="00000000" w:rsidRPr="00000000">
        <w:rPr>
          <w:rFonts w:ascii="Arial" w:cs="Arial" w:eastAsia="Arial" w:hAnsi="Arial"/>
          <w:sz w:val="22"/>
          <w:szCs w:val="22"/>
          <w:rtl w:val="0"/>
        </w:rPr>
        <w:t xml:space="preserve">One of the most significant barriers to AI adoption in clinical settings has been the black-box problem: a model flags something, and a clinician or auditor cannot understand why. Chain-of-thought reasoning, now a standard capability of frontier language models, addresses this directly (Gottesman et al., 2019). When a model explains that "this claim is flagged because the procedure code billed does not match the diagnosis code, the provider has no prior claims for this procedure, and the same patient had an identical claim denied three months ago," the clinician has actionable context rather than an opaque signal.</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Fonts w:ascii="Arial" w:cs="Arial" w:eastAsia="Arial" w:hAnsi="Arial"/>
          <w:b w:val="1"/>
          <w:bCs w:val="1"/>
          <w:color w:val="7b2d8b"/>
          <w:rtl w:val="0"/>
        </w:rPr>
        <w:t xml:space="preserve">Opportunities and Threats</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w:cs="Arial" w:eastAsia="Arial" w:hAnsi="Arial"/>
          <w:b w:val="1"/>
          <w:bCs w:val="1"/>
          <w:color w:val="444444"/>
          <w:rtl w:val="0"/>
        </w:rPr>
        <w:t xml:space="preserve">Opportunities</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sz w:val="22"/>
          <w:szCs w:val="22"/>
          <w:rtl w:val="0"/>
        </w:rPr>
        <w:t xml:space="preserve">Payment integrity at scale: Agentic AI can review claims in real time before payment, reducing the costly post-payment recovery cycle that dominates current operations (CMS, 2024).</w:t>
      </w:r>
      <w:r w:rsidDel="00000000" w:rsidR="00000000" w:rsidRPr="00000000">
        <w:rPr>
          <w:rtl w:val="0"/>
        </w:rPr>
      </w:r>
    </w:p>
    <w:p w:rsidR="00000000" w:rsidDel="00000000" w:rsidP="00000000" w:rsidRDefault="00000000" w:rsidRPr="00000000" w14:paraId="00000013">
      <w:pPr>
        <w:spacing w:after="80" w:before="40" w:lineRule="auto"/>
        <w:rPr/>
      </w:pPr>
      <w:r w:rsidDel="00000000" w:rsidR="00000000" w:rsidRPr="00000000">
        <w:rPr>
          <w:rFonts w:ascii="Arial" w:cs="Arial" w:eastAsia="Arial" w:hAnsi="Arial"/>
          <w:sz w:val="22"/>
          <w:szCs w:val="22"/>
          <w:rtl w:val="0"/>
        </w:rPr>
        <w:t xml:space="preserve">Prior authorization acceleration: Agents trained on payer-specific coverage policies and clinical guidelines can process prior auth requests in minutes rather than days, reducing administrative burden on providers while maintaining clinical appropriateness standards (Mahajan et al., 2022).</w:t>
      </w:r>
      <w:r w:rsidDel="00000000" w:rsidR="00000000" w:rsidRPr="00000000">
        <w:rPr>
          <w:rtl w:val="0"/>
        </w:rPr>
      </w:r>
    </w:p>
    <w:p w:rsidR="00000000" w:rsidDel="00000000" w:rsidP="00000000" w:rsidRDefault="00000000" w:rsidRPr="00000000" w14:paraId="00000014">
      <w:pPr>
        <w:spacing w:after="80" w:before="40" w:lineRule="auto"/>
        <w:rPr/>
      </w:pPr>
      <w:r w:rsidDel="00000000" w:rsidR="00000000" w:rsidRPr="00000000">
        <w:rPr>
          <w:rFonts w:ascii="Arial" w:cs="Arial" w:eastAsia="Arial" w:hAnsi="Arial"/>
          <w:sz w:val="22"/>
          <w:szCs w:val="22"/>
          <w:rtl w:val="0"/>
        </w:rPr>
        <w:t xml:space="preserve">Care gap identification: Longitudinal analysis of member claims data can surface patients overdue for preventive screenings, medication adherence gaps, or high-risk transitions — enabling proactive outreach before costly acute events (Rajpurkar et al., 2022).</w:t>
      </w:r>
      <w:r w:rsidDel="00000000" w:rsidR="00000000" w:rsidRPr="00000000">
        <w:rPr>
          <w:rtl w:val="0"/>
        </w:rPr>
      </w:r>
    </w:p>
    <w:p w:rsidR="00000000" w:rsidDel="00000000" w:rsidP="00000000" w:rsidRDefault="00000000" w:rsidRPr="00000000" w14:paraId="00000015">
      <w:pPr>
        <w:spacing w:after="160" w:before="40" w:lineRule="auto"/>
        <w:rPr/>
      </w:pPr>
      <w:r w:rsidDel="00000000" w:rsidR="00000000" w:rsidRPr="00000000">
        <w:rPr>
          <w:rFonts w:ascii="Arial" w:cs="Arial" w:eastAsia="Arial" w:hAnsi="Arial"/>
          <w:sz w:val="22"/>
          <w:szCs w:val="22"/>
          <w:rtl w:val="0"/>
        </w:rPr>
        <w:t xml:space="preserve">Operational throughput: Intelligent triage of clinical review queues routes low-complexity cases to auto-approval and high-complexity cases to senior reviewers, dramatically increasing per-reviewer throughput without sacrificing accuracy.</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Fonts w:ascii="Arial" w:cs="Arial" w:eastAsia="Arial" w:hAnsi="Arial"/>
          <w:b w:val="1"/>
          <w:bCs w:val="1"/>
          <w:color w:val="444444"/>
          <w:rtl w:val="0"/>
        </w:rPr>
        <w:t xml:space="preserve">Threats</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sz w:val="22"/>
          <w:szCs w:val="22"/>
          <w:rtl w:val="0"/>
        </w:rPr>
        <w:t xml:space="preserve">Hallucination in clinical contexts: LLMs can generate confident but incorrect reasoning when grounding in retrieved policy is insufficient. In a claims decision context, a confident wrong recommendation has legal and financial consequences. Faithfulness evaluation — verified using frameworks such as RAGAS (Es et al., 2023) — is a non-negotiable engineering requirement.</w:t>
      </w:r>
      <w:r w:rsidDel="00000000" w:rsidR="00000000" w:rsidRPr="00000000">
        <w:rPr>
          <w:rtl w:val="0"/>
        </w:rPr>
      </w:r>
    </w:p>
    <w:p w:rsidR="00000000" w:rsidDel="00000000" w:rsidP="00000000" w:rsidRDefault="00000000" w:rsidRPr="00000000" w14:paraId="00000018">
      <w:pPr>
        <w:spacing w:after="80" w:before="40" w:lineRule="auto"/>
        <w:rPr/>
      </w:pPr>
      <w:r w:rsidDel="00000000" w:rsidR="00000000" w:rsidRPr="00000000">
        <w:rPr>
          <w:rFonts w:ascii="Arial" w:cs="Arial" w:eastAsia="Arial" w:hAnsi="Arial"/>
          <w:sz w:val="22"/>
          <w:szCs w:val="22"/>
          <w:rtl w:val="0"/>
        </w:rPr>
        <w:t xml:space="preserve">Regulatory and liability exposure: Automated clinical or payment decisions create new liability surfaces. CMS and state insurance regulators are actively developing frameworks for AI in claims adjudication. Any agentic system must maintain a complete, auditable decision trail.</w:t>
      </w:r>
      <w:r w:rsidDel="00000000" w:rsidR="00000000" w:rsidRPr="00000000">
        <w:rPr>
          <w:rtl w:val="0"/>
        </w:rPr>
      </w:r>
    </w:p>
    <w:p w:rsidR="00000000" w:rsidDel="00000000" w:rsidP="00000000" w:rsidRDefault="00000000" w:rsidRPr="00000000" w14:paraId="00000019">
      <w:pPr>
        <w:spacing w:after="80" w:before="40" w:lineRule="auto"/>
        <w:rPr/>
      </w:pPr>
      <w:r w:rsidDel="00000000" w:rsidR="00000000" w:rsidRPr="00000000">
        <w:rPr>
          <w:rFonts w:ascii="Arial" w:cs="Arial" w:eastAsia="Arial" w:hAnsi="Arial"/>
          <w:sz w:val="22"/>
          <w:szCs w:val="22"/>
          <w:rtl w:val="0"/>
        </w:rPr>
        <w:t xml:space="preserve">Model drift and distribution shift: Claims coding patterns, provider behavior, and clinical guidelines change over time. A model trained on 2022 data may underperform significantly on 2025 claims without continuous monitoring and retraining.</w:t>
      </w:r>
      <w:r w:rsidDel="00000000" w:rsidR="00000000" w:rsidRPr="00000000">
        <w:rPr>
          <w:rtl w:val="0"/>
        </w:rPr>
      </w:r>
    </w:p>
    <w:p w:rsidR="00000000" w:rsidDel="00000000" w:rsidP="00000000" w:rsidRDefault="00000000" w:rsidRPr="00000000" w14:paraId="0000001A">
      <w:pPr>
        <w:spacing w:after="160" w:before="40" w:lineRule="auto"/>
        <w:rPr/>
      </w:pPr>
      <w:r w:rsidDel="00000000" w:rsidR="00000000" w:rsidRPr="00000000">
        <w:rPr>
          <w:rFonts w:ascii="Arial" w:cs="Arial" w:eastAsia="Arial" w:hAnsi="Arial"/>
          <w:sz w:val="22"/>
          <w:szCs w:val="22"/>
          <w:rtl w:val="0"/>
        </w:rPr>
        <w:t xml:space="preserve">Algorithmic bias: If training data reflects historical disparities in claims adjudication, an AI system trained on that data will perpetuate and potentially amplify those disparities (Obermeyer et al., 2019; Chen et al., 2019).</w:t>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Fonts w:ascii="Arial" w:cs="Arial" w:eastAsia="Arial" w:hAnsi="Arial"/>
          <w:b w:val="1"/>
          <w:bCs w:val="1"/>
          <w:color w:val="7b2d8b"/>
          <w:rtl w:val="0"/>
        </w:rPr>
        <w:t xml:space="preserve">Strategic Recommendations for Cotiviti</w:t>
      </w:r>
      <w:r w:rsidDel="00000000" w:rsidR="00000000" w:rsidRPr="00000000">
        <w:rPr>
          <w:rtl w:val="0"/>
        </w:rPr>
      </w:r>
    </w:p>
    <w:p w:rsidR="00000000" w:rsidDel="00000000" w:rsidP="00000000" w:rsidRDefault="00000000" w:rsidRPr="00000000" w14:paraId="0000001C">
      <w:pPr>
        <w:spacing w:after="160" w:before="80" w:lineRule="auto"/>
        <w:rPr/>
      </w:pPr>
      <w:r w:rsidDel="00000000" w:rsidR="00000000" w:rsidRPr="00000000">
        <w:rPr>
          <w:rFonts w:ascii="Arial" w:cs="Arial" w:eastAsia="Arial" w:hAnsi="Arial"/>
          <w:sz w:val="22"/>
          <w:szCs w:val="22"/>
          <w:rtl w:val="0"/>
        </w:rPr>
        <w:t xml:space="preserve">Cotiviti is uniquely positioned to lead in agentic clinical intelligence. With access to longitudinal claims data across millions of members, deep payer-provider relationships, and existing analytics infrastructure, three strategic investments stand out:</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Fonts w:ascii="Arial" w:cs="Arial" w:eastAsia="Arial" w:hAnsi="Arial"/>
          <w:b w:val="1"/>
          <w:bCs w:val="1"/>
          <w:color w:val="444444"/>
          <w:rtl w:val="0"/>
        </w:rPr>
        <w:t xml:space="preserve">1. Invest in an Agentic Payment Integrity Platform</w:t>
      </w:r>
      <w:r w:rsidDel="00000000" w:rsidR="00000000" w:rsidRPr="00000000">
        <w:rPr>
          <w:rtl w:val="0"/>
        </w:rPr>
      </w:r>
    </w:p>
    <w:p w:rsidR="00000000" w:rsidDel="00000000" w:rsidP="00000000" w:rsidRDefault="00000000" w:rsidRPr="00000000" w14:paraId="0000001E">
      <w:pPr>
        <w:spacing w:after="160" w:before="80" w:lineRule="auto"/>
        <w:rPr/>
      </w:pPr>
      <w:r w:rsidDel="00000000" w:rsidR="00000000" w:rsidRPr="00000000">
        <w:rPr>
          <w:rFonts w:ascii="Arial" w:cs="Arial" w:eastAsia="Arial" w:hAnsi="Arial"/>
          <w:sz w:val="22"/>
          <w:szCs w:val="22"/>
          <w:rtl w:val="0"/>
        </w:rPr>
        <w:t xml:space="preserve">Move beyond flag-and-review toward a system that reasons, explains, and recommends action at the point of adjudication. An agent that ingests a claim, retrieves applicable billing policy from a curated RAG corpus, detects anomalies using a time-series classifier, generates a chain-of-reasoning explanation, and outputs a structured decision recommendation — with a human-in-the-loop for high-complexity cases — would represent a step change in payment integrity efficiency (CMS, 2024; Mahajan et al., 2022). Every decision should be logged with its full reasoning chain for regulatory auditability.</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Fonts w:ascii="Arial" w:cs="Arial" w:eastAsia="Arial" w:hAnsi="Arial"/>
          <w:b w:val="1"/>
          <w:bCs w:val="1"/>
          <w:color w:val="444444"/>
          <w:rtl w:val="0"/>
        </w:rPr>
        <w:t xml:space="preserve">2. Build a Faithfulness-First Evaluation Standard</w:t>
      </w:r>
      <w:r w:rsidDel="00000000" w:rsidR="00000000" w:rsidRPr="00000000">
        <w:rPr>
          <w:rtl w:val="0"/>
        </w:rPr>
      </w:r>
    </w:p>
    <w:p w:rsidR="00000000" w:rsidDel="00000000" w:rsidP="00000000" w:rsidRDefault="00000000" w:rsidRPr="00000000" w14:paraId="00000020">
      <w:pPr>
        <w:spacing w:after="160" w:before="80" w:lineRule="auto"/>
        <w:rPr/>
      </w:pPr>
      <w:r w:rsidDel="00000000" w:rsidR="00000000" w:rsidRPr="00000000">
        <w:rPr>
          <w:rFonts w:ascii="Arial" w:cs="Arial" w:eastAsia="Arial" w:hAnsi="Arial"/>
          <w:sz w:val="22"/>
          <w:szCs w:val="22"/>
          <w:rtl w:val="0"/>
        </w:rPr>
        <w:t xml:space="preserve">For any LLM-generated clinical or payment decision output, Cotiviti should establish a systematic faithfulness evaluation layer — verifying that every factual claim in a generated output is grounded in retrieved policy or clinical evidence rather than model hallucination (Es et al., 2023). This is technically achievable using RAGAS-style claim-level verification and would represent a market-differentiating commitment to trustworthy AI in a space where trust is the primary barrier to adoption.</w: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Fonts w:ascii="Arial" w:cs="Arial" w:eastAsia="Arial" w:hAnsi="Arial"/>
          <w:b w:val="1"/>
          <w:bCs w:val="1"/>
          <w:color w:val="444444"/>
          <w:rtl w:val="0"/>
        </w:rPr>
        <w:t xml:space="preserve">3. Establish a Clinical AI Governance Framework</w:t>
      </w:r>
      <w:r w:rsidDel="00000000" w:rsidR="00000000" w:rsidRPr="00000000">
        <w:rPr>
          <w:rtl w:val="0"/>
        </w:rPr>
      </w:r>
    </w:p>
    <w:p w:rsidR="00000000" w:rsidDel="00000000" w:rsidP="00000000" w:rsidRDefault="00000000" w:rsidRPr="00000000" w14:paraId="00000022">
      <w:pPr>
        <w:spacing w:after="160" w:before="80" w:lineRule="auto"/>
        <w:rPr/>
      </w:pPr>
      <w:r w:rsidDel="00000000" w:rsidR="00000000" w:rsidRPr="00000000">
        <w:rPr>
          <w:rFonts w:ascii="Arial" w:cs="Arial" w:eastAsia="Arial" w:hAnsi="Arial"/>
          <w:sz w:val="22"/>
          <w:szCs w:val="22"/>
          <w:rtl w:val="0"/>
        </w:rPr>
        <w:t xml:space="preserve">Before scaling agentic decision-making across client health plans, Cotiviti should develop and publish an internal clinical AI governance standard covering model drift monitoring, bias auditing (Obermeyer et al., 2019), human oversight thresholds, and regulatory compliance documentation. This framework would not only reduce liability exposure but would position Cotiviti as a trusted partner to health plans navigating AI adoption under increasing regulatory scrutiny.</w:t>
      </w:r>
      <w:r w:rsidDel="00000000" w:rsidR="00000000" w:rsidRPr="00000000">
        <w:rPr>
          <w:rtl w:val="0"/>
        </w:rPr>
      </w:r>
    </w:p>
    <w:p w:rsidR="00000000" w:rsidDel="00000000" w:rsidP="00000000" w:rsidRDefault="00000000" w:rsidRPr="00000000" w14:paraId="00000023">
      <w:pPr>
        <w:pBdr>
          <w:top w:color="7b2d8b" w:space="8" w:sz="4" w:val="single"/>
        </w:pBdr>
        <w:spacing w:after="160" w:before="120" w:lineRule="auto"/>
        <w:rPr/>
      </w:pPr>
      <w:r w:rsidDel="00000000" w:rsidR="00000000" w:rsidRPr="00000000">
        <w:rPr>
          <w:rFonts w:ascii="Arial" w:cs="Arial" w:eastAsia="Arial" w:hAnsi="Arial"/>
          <w:i w:val="1"/>
          <w:iCs w:val="1"/>
          <w:color w:val="595959"/>
          <w:sz w:val="22"/>
          <w:szCs w:val="22"/>
          <w:rtl w:val="0"/>
        </w:rPr>
        <w:t xml:space="preserve">The gap between clinical signal and clinical action has cost this healthcare system trillions of dollars and countless preventable harms. Closing that gap — with systems that do not just detect but reason, explain, and act — is the most important engineering challenge in health care today. It is the challenge I pivoted my life toward, and the challenge Cotiviti is positioned to lead.</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Fonts w:ascii="Arial" w:cs="Arial" w:eastAsia="Arial" w:hAnsi="Arial"/>
          <w:b w:val="1"/>
          <w:bCs w:val="1"/>
          <w:color w:val="7b2d8b"/>
          <w:rtl w:val="0"/>
        </w:rPr>
        <w:t xml:space="preserve">References</w:t>
      </w:r>
      <w:r w:rsidDel="00000000" w:rsidR="00000000" w:rsidRPr="00000000">
        <w:rPr>
          <w:rtl w:val="0"/>
        </w:rPr>
      </w:r>
    </w:p>
    <w:p w:rsidR="00000000" w:rsidDel="00000000" w:rsidP="00000000" w:rsidRDefault="00000000" w:rsidRPr="00000000" w14:paraId="00000026">
      <w:pPr>
        <w:spacing w:after="80" w:before="120" w:lineRule="auto"/>
        <w:rPr/>
      </w:pPr>
      <w:r w:rsidDel="00000000" w:rsidR="00000000" w:rsidRPr="00000000">
        <w:rPr>
          <w:rFonts w:ascii="Arial" w:cs="Arial" w:eastAsia="Arial" w:hAnsi="Arial"/>
          <w:b w:val="0"/>
          <w:bCs w:val="0"/>
          <w:sz w:val="22"/>
          <w:szCs w:val="22"/>
          <w:rtl w:val="0"/>
        </w:rPr>
        <w:t xml:space="preserve">Centers for Medicare and Medicaid Services. (2024). </w:t>
      </w:r>
      <w:r w:rsidDel="00000000" w:rsidR="00000000" w:rsidRPr="00000000">
        <w:rPr>
          <w:rFonts w:ascii="Arial" w:cs="Arial" w:eastAsia="Arial" w:hAnsi="Arial"/>
          <w:i w:val="1"/>
          <w:iCs w:val="1"/>
          <w:sz w:val="22"/>
          <w:szCs w:val="22"/>
          <w:rtl w:val="0"/>
        </w:rPr>
        <w:t xml:space="preserve">Improper payments report: Fiscal year 2023.</w:t>
      </w:r>
      <w:r w:rsidDel="00000000" w:rsidR="00000000" w:rsidRPr="00000000">
        <w:rPr>
          <w:rFonts w:ascii="Arial" w:cs="Arial" w:eastAsia="Arial" w:hAnsi="Arial"/>
          <w:sz w:val="22"/>
          <w:szCs w:val="22"/>
          <w:rtl w:val="0"/>
        </w:rPr>
        <w:t xml:space="preserve"> U.S. Department of Health and Human Services. https://www.cms.gov/files/document/medicare-fee-service-improper-payments-2023.pdf</w:t>
      </w:r>
      <w:r w:rsidDel="00000000" w:rsidR="00000000" w:rsidRPr="00000000">
        <w:rPr>
          <w:rtl w:val="0"/>
        </w:rPr>
      </w:r>
    </w:p>
    <w:p w:rsidR="00000000" w:rsidDel="00000000" w:rsidP="00000000" w:rsidRDefault="00000000" w:rsidRPr="00000000" w14:paraId="00000027">
      <w:pPr>
        <w:spacing w:after="80" w:before="40" w:lineRule="auto"/>
        <w:rPr/>
      </w:pPr>
      <w:r w:rsidDel="00000000" w:rsidR="00000000" w:rsidRPr="00000000">
        <w:rPr>
          <w:rFonts w:ascii="Arial" w:cs="Arial" w:eastAsia="Arial" w:hAnsi="Arial"/>
          <w:sz w:val="22"/>
          <w:szCs w:val="22"/>
          <w:rtl w:val="0"/>
        </w:rPr>
        <w:t xml:space="preserve">Chen, I. Y., Szolovits, P., &amp; Ghassemi, M. (2019). Can AI help reduce disparities in general medical and mental health care? </w:t>
      </w:r>
      <w:r w:rsidDel="00000000" w:rsidR="00000000" w:rsidRPr="00000000">
        <w:rPr>
          <w:rFonts w:ascii="Arial" w:cs="Arial" w:eastAsia="Arial" w:hAnsi="Arial"/>
          <w:i w:val="1"/>
          <w:iCs w:val="1"/>
          <w:sz w:val="22"/>
          <w:szCs w:val="22"/>
          <w:rtl w:val="0"/>
        </w:rPr>
        <w:t xml:space="preserve">AMA Journal of Ethics, 21</w:t>
      </w:r>
      <w:r w:rsidDel="00000000" w:rsidR="00000000" w:rsidRPr="00000000">
        <w:rPr>
          <w:rFonts w:ascii="Arial" w:cs="Arial" w:eastAsia="Arial" w:hAnsi="Arial"/>
          <w:sz w:val="22"/>
          <w:szCs w:val="22"/>
          <w:rtl w:val="0"/>
        </w:rPr>
        <w:t xml:space="preserve">(2), E167–E179. https://doi.org/10.1001/amajethics.2019.167</w:t>
      </w:r>
      <w:r w:rsidDel="00000000" w:rsidR="00000000" w:rsidRPr="00000000">
        <w:rPr>
          <w:rtl w:val="0"/>
        </w:rPr>
      </w:r>
    </w:p>
    <w:p w:rsidR="00000000" w:rsidDel="00000000" w:rsidP="00000000" w:rsidRDefault="00000000" w:rsidRPr="00000000" w14:paraId="00000028">
      <w:pPr>
        <w:spacing w:after="80" w:before="40" w:lineRule="auto"/>
        <w:rPr/>
      </w:pPr>
      <w:r w:rsidDel="00000000" w:rsidR="00000000" w:rsidRPr="00000000">
        <w:rPr>
          <w:rFonts w:ascii="Arial" w:cs="Arial" w:eastAsia="Arial" w:hAnsi="Arial"/>
          <w:sz w:val="22"/>
          <w:szCs w:val="22"/>
          <w:rtl w:val="0"/>
        </w:rPr>
        <w:t xml:space="preserve">Es, S., James, J., Espinosa-Anke, L., &amp; Schockaert, S. (2023). RAGAS: Automated evaluation of retrieval augmented generation. </w:t>
      </w:r>
      <w:r w:rsidDel="00000000" w:rsidR="00000000" w:rsidRPr="00000000">
        <w:rPr>
          <w:rFonts w:ascii="Arial" w:cs="Arial" w:eastAsia="Arial" w:hAnsi="Arial"/>
          <w:i w:val="1"/>
          <w:iCs w:val="1"/>
          <w:sz w:val="22"/>
          <w:szCs w:val="22"/>
          <w:rtl w:val="0"/>
        </w:rPr>
        <w:t xml:space="preserve">arXiv:2309.15217.</w:t>
      </w:r>
      <w:r w:rsidDel="00000000" w:rsidR="00000000" w:rsidRPr="00000000">
        <w:rPr>
          <w:rFonts w:ascii="Arial" w:cs="Arial" w:eastAsia="Arial" w:hAnsi="Arial"/>
          <w:sz w:val="22"/>
          <w:szCs w:val="22"/>
          <w:rtl w:val="0"/>
        </w:rPr>
        <w:t xml:space="preserve"> https://arxiv.org/abs/2309.15217</w:t>
      </w:r>
      <w:r w:rsidDel="00000000" w:rsidR="00000000" w:rsidRPr="00000000">
        <w:rPr>
          <w:rtl w:val="0"/>
        </w:rPr>
      </w:r>
    </w:p>
    <w:p w:rsidR="00000000" w:rsidDel="00000000" w:rsidP="00000000" w:rsidRDefault="00000000" w:rsidRPr="00000000" w14:paraId="00000029">
      <w:pPr>
        <w:spacing w:after="80" w:before="40" w:lineRule="auto"/>
        <w:rPr/>
      </w:pPr>
      <w:r w:rsidDel="00000000" w:rsidR="00000000" w:rsidRPr="00000000">
        <w:rPr>
          <w:rFonts w:ascii="Arial" w:cs="Arial" w:eastAsia="Arial" w:hAnsi="Arial"/>
          <w:sz w:val="22"/>
          <w:szCs w:val="22"/>
          <w:rtl w:val="0"/>
        </w:rPr>
        <w:t xml:space="preserve">Gottesman, O., et al. (2019). Guidelines for reinforcement learning in healthcare. </w:t>
      </w:r>
      <w:r w:rsidDel="00000000" w:rsidR="00000000" w:rsidRPr="00000000">
        <w:rPr>
          <w:rFonts w:ascii="Arial" w:cs="Arial" w:eastAsia="Arial" w:hAnsi="Arial"/>
          <w:i w:val="1"/>
          <w:iCs w:val="1"/>
          <w:sz w:val="22"/>
          <w:szCs w:val="22"/>
          <w:rtl w:val="0"/>
        </w:rPr>
        <w:t xml:space="preserve">Nature Medicine, 25,</w:t>
      </w:r>
      <w:r w:rsidDel="00000000" w:rsidR="00000000" w:rsidRPr="00000000">
        <w:rPr>
          <w:rFonts w:ascii="Arial" w:cs="Arial" w:eastAsia="Arial" w:hAnsi="Arial"/>
          <w:sz w:val="22"/>
          <w:szCs w:val="22"/>
          <w:rtl w:val="0"/>
        </w:rPr>
        <w:t xml:space="preserve"> 16–18. https://doi.org/10.1038/s41591-018-0310-5</w:t>
      </w:r>
      <w:r w:rsidDel="00000000" w:rsidR="00000000" w:rsidRPr="00000000">
        <w:rPr>
          <w:rtl w:val="0"/>
        </w:rPr>
      </w:r>
    </w:p>
    <w:p w:rsidR="00000000" w:rsidDel="00000000" w:rsidP="00000000" w:rsidRDefault="00000000" w:rsidRPr="00000000" w14:paraId="0000002A">
      <w:pPr>
        <w:spacing w:after="80" w:before="40" w:lineRule="auto"/>
        <w:rPr/>
      </w:pPr>
      <w:r w:rsidDel="00000000" w:rsidR="00000000" w:rsidRPr="00000000">
        <w:rPr>
          <w:rFonts w:ascii="Arial" w:cs="Arial" w:eastAsia="Arial" w:hAnsi="Arial"/>
          <w:sz w:val="22"/>
          <w:szCs w:val="22"/>
          <w:rtl w:val="0"/>
        </w:rPr>
        <w:t xml:space="preserve">Kung, T. H., et al. (2023). Performance of ChatGPT on USMLE: Potential for AI-assisted medical education using large language models. </w:t>
      </w:r>
      <w:r w:rsidDel="00000000" w:rsidR="00000000" w:rsidRPr="00000000">
        <w:rPr>
          <w:rFonts w:ascii="Arial" w:cs="Arial" w:eastAsia="Arial" w:hAnsi="Arial"/>
          <w:i w:val="1"/>
          <w:iCs w:val="1"/>
          <w:sz w:val="22"/>
          <w:szCs w:val="22"/>
          <w:rtl w:val="0"/>
        </w:rPr>
        <w:t xml:space="preserve">PLOS Digital Health, 2</w:t>
      </w:r>
      <w:r w:rsidDel="00000000" w:rsidR="00000000" w:rsidRPr="00000000">
        <w:rPr>
          <w:rFonts w:ascii="Arial" w:cs="Arial" w:eastAsia="Arial" w:hAnsi="Arial"/>
          <w:sz w:val="22"/>
          <w:szCs w:val="22"/>
          <w:rtl w:val="0"/>
        </w:rPr>
        <w:t xml:space="preserve">(2), e0000198. https://doi.org/10.1371/journal.pdig.0000198</w:t>
      </w:r>
      <w:r w:rsidDel="00000000" w:rsidR="00000000" w:rsidRPr="00000000">
        <w:rPr>
          <w:rtl w:val="0"/>
        </w:rPr>
      </w:r>
    </w:p>
    <w:p w:rsidR="00000000" w:rsidDel="00000000" w:rsidP="00000000" w:rsidRDefault="00000000" w:rsidRPr="00000000" w14:paraId="0000002B">
      <w:pPr>
        <w:spacing w:after="80" w:before="40" w:lineRule="auto"/>
        <w:rPr/>
      </w:pPr>
      <w:r w:rsidDel="00000000" w:rsidR="00000000" w:rsidRPr="00000000">
        <w:rPr>
          <w:rFonts w:ascii="Arial" w:cs="Arial" w:eastAsia="Arial" w:hAnsi="Arial"/>
          <w:sz w:val="22"/>
          <w:szCs w:val="22"/>
          <w:rtl w:val="0"/>
        </w:rPr>
        <w:t xml:space="preserve">Mahajan, A., et al. (2022). Artificial intelligence in clinical decision support: Current applications and future directions. </w:t>
      </w:r>
      <w:r w:rsidDel="00000000" w:rsidR="00000000" w:rsidRPr="00000000">
        <w:rPr>
          <w:rFonts w:ascii="Arial" w:cs="Arial" w:eastAsia="Arial" w:hAnsi="Arial"/>
          <w:i w:val="1"/>
          <w:iCs w:val="1"/>
          <w:sz w:val="22"/>
          <w:szCs w:val="22"/>
          <w:rtl w:val="0"/>
        </w:rPr>
        <w:t xml:space="preserve">Journal of the American Medical Informatics Association, 29</w:t>
      </w:r>
      <w:r w:rsidDel="00000000" w:rsidR="00000000" w:rsidRPr="00000000">
        <w:rPr>
          <w:rFonts w:ascii="Arial" w:cs="Arial" w:eastAsia="Arial" w:hAnsi="Arial"/>
          <w:sz w:val="22"/>
          <w:szCs w:val="22"/>
          <w:rtl w:val="0"/>
        </w:rPr>
        <w:t xml:space="preserve">(9), 1–12. https://doi.org/10.1093/jamia/ocac100</w:t>
      </w:r>
      <w:r w:rsidDel="00000000" w:rsidR="00000000" w:rsidRPr="00000000">
        <w:rPr>
          <w:rtl w:val="0"/>
        </w:rPr>
      </w:r>
    </w:p>
    <w:p w:rsidR="00000000" w:rsidDel="00000000" w:rsidP="00000000" w:rsidRDefault="00000000" w:rsidRPr="00000000" w14:paraId="0000002C">
      <w:pPr>
        <w:spacing w:after="80" w:before="40" w:lineRule="auto"/>
        <w:rPr/>
      </w:pPr>
      <w:r w:rsidDel="00000000" w:rsidR="00000000" w:rsidRPr="00000000">
        <w:rPr>
          <w:rFonts w:ascii="Arial" w:cs="Arial" w:eastAsia="Arial" w:hAnsi="Arial"/>
          <w:sz w:val="22"/>
          <w:szCs w:val="22"/>
          <w:rtl w:val="0"/>
        </w:rPr>
        <w:t xml:space="preserve">Microsoft Research. (2024). </w:t>
      </w:r>
      <w:r w:rsidDel="00000000" w:rsidR="00000000" w:rsidRPr="00000000">
        <w:rPr>
          <w:rFonts w:ascii="Arial" w:cs="Arial" w:eastAsia="Arial" w:hAnsi="Arial"/>
          <w:i w:val="1"/>
          <w:iCs w:val="1"/>
          <w:sz w:val="22"/>
          <w:szCs w:val="22"/>
          <w:rtl w:val="0"/>
        </w:rPr>
        <w:t xml:space="preserve">GraphRAG: Unlocking LLM discovery on narrative private data.</w:t>
      </w:r>
      <w:r w:rsidDel="00000000" w:rsidR="00000000" w:rsidRPr="00000000">
        <w:rPr>
          <w:rFonts w:ascii="Arial" w:cs="Arial" w:eastAsia="Arial" w:hAnsi="Arial"/>
          <w:sz w:val="22"/>
          <w:szCs w:val="22"/>
          <w:rtl w:val="0"/>
        </w:rPr>
        <w:t xml:space="preserve"> Microsoft Research Blog. https://www.microsoft.com/en-us/research/blog/graphrag</w:t>
      </w:r>
      <w:r w:rsidDel="00000000" w:rsidR="00000000" w:rsidRPr="00000000">
        <w:rPr>
          <w:rtl w:val="0"/>
        </w:rPr>
      </w:r>
    </w:p>
    <w:p w:rsidR="00000000" w:rsidDel="00000000" w:rsidP="00000000" w:rsidRDefault="00000000" w:rsidRPr="00000000" w14:paraId="0000002D">
      <w:pPr>
        <w:spacing w:after="80" w:before="40" w:lineRule="auto"/>
        <w:rPr/>
      </w:pPr>
      <w:r w:rsidDel="00000000" w:rsidR="00000000" w:rsidRPr="00000000">
        <w:rPr>
          <w:rFonts w:ascii="Arial" w:cs="Arial" w:eastAsia="Arial" w:hAnsi="Arial"/>
          <w:sz w:val="22"/>
          <w:szCs w:val="22"/>
          <w:rtl w:val="0"/>
        </w:rPr>
        <w:t xml:space="preserve">Obermeyer, Z., Powers, B., Vogeli, C., &amp; Mullainathan, S. (2019). Dissecting racial bias in an algorithm used to manage the health of populations. </w:t>
      </w:r>
      <w:r w:rsidDel="00000000" w:rsidR="00000000" w:rsidRPr="00000000">
        <w:rPr>
          <w:rFonts w:ascii="Arial" w:cs="Arial" w:eastAsia="Arial" w:hAnsi="Arial"/>
          <w:i w:val="1"/>
          <w:iCs w:val="1"/>
          <w:sz w:val="22"/>
          <w:szCs w:val="22"/>
          <w:rtl w:val="0"/>
        </w:rPr>
        <w:t xml:space="preserve">Science, 366</w:t>
      </w:r>
      <w:r w:rsidDel="00000000" w:rsidR="00000000" w:rsidRPr="00000000">
        <w:rPr>
          <w:rFonts w:ascii="Arial" w:cs="Arial" w:eastAsia="Arial" w:hAnsi="Arial"/>
          <w:sz w:val="22"/>
          <w:szCs w:val="22"/>
          <w:rtl w:val="0"/>
        </w:rPr>
        <w:t xml:space="preserve">(6464), 447–453. https://doi.org/10.1126/science.aax2342</w:t>
      </w:r>
      <w:r w:rsidDel="00000000" w:rsidR="00000000" w:rsidRPr="00000000">
        <w:rPr>
          <w:rtl w:val="0"/>
        </w:rPr>
      </w:r>
    </w:p>
    <w:p w:rsidR="00000000" w:rsidDel="00000000" w:rsidP="00000000" w:rsidRDefault="00000000" w:rsidRPr="00000000" w14:paraId="0000002E">
      <w:pPr>
        <w:spacing w:after="80" w:before="40" w:lineRule="auto"/>
        <w:rPr/>
      </w:pPr>
      <w:r w:rsidDel="00000000" w:rsidR="00000000" w:rsidRPr="00000000">
        <w:rPr>
          <w:rFonts w:ascii="Arial" w:cs="Arial" w:eastAsia="Arial" w:hAnsi="Arial"/>
          <w:sz w:val="22"/>
          <w:szCs w:val="22"/>
          <w:rtl w:val="0"/>
        </w:rPr>
        <w:t xml:space="preserve">Rajpurkar, P., Chen, E., Banerjee, O., &amp; Topol, E. J. (2022). AI in health and medicine. </w:t>
      </w:r>
      <w:r w:rsidDel="00000000" w:rsidR="00000000" w:rsidRPr="00000000">
        <w:rPr>
          <w:rFonts w:ascii="Arial" w:cs="Arial" w:eastAsia="Arial" w:hAnsi="Arial"/>
          <w:i w:val="1"/>
          <w:iCs w:val="1"/>
          <w:sz w:val="22"/>
          <w:szCs w:val="22"/>
          <w:rtl w:val="0"/>
        </w:rPr>
        <w:t xml:space="preserve">Nature Medicine, 28,</w:t>
      </w:r>
      <w:r w:rsidDel="00000000" w:rsidR="00000000" w:rsidRPr="00000000">
        <w:rPr>
          <w:rFonts w:ascii="Arial" w:cs="Arial" w:eastAsia="Arial" w:hAnsi="Arial"/>
          <w:sz w:val="22"/>
          <w:szCs w:val="22"/>
          <w:rtl w:val="0"/>
        </w:rPr>
        <w:t xml:space="preserve"> 31–38. https://doi.org/10.1038/s41591-021-01614-0</w:t>
      </w:r>
      <w:r w:rsidDel="00000000" w:rsidR="00000000" w:rsidRPr="00000000">
        <w:rPr>
          <w:rtl w:val="0"/>
        </w:rPr>
      </w:r>
    </w:p>
    <w:p w:rsidR="00000000" w:rsidDel="00000000" w:rsidP="00000000" w:rsidRDefault="00000000" w:rsidRPr="00000000" w14:paraId="0000002F">
      <w:pPr>
        <w:spacing w:after="80" w:before="40" w:lineRule="auto"/>
        <w:rPr/>
      </w:pPr>
      <w:r w:rsidDel="00000000" w:rsidR="00000000" w:rsidRPr="00000000">
        <w:rPr>
          <w:rFonts w:ascii="Arial" w:cs="Arial" w:eastAsia="Arial" w:hAnsi="Arial"/>
          <w:sz w:val="22"/>
          <w:szCs w:val="22"/>
          <w:rtl w:val="0"/>
        </w:rPr>
        <w:t xml:space="preserve">Topol, E. J. (2019). High-performance medicine: The convergence of human and artificial intelligence. </w:t>
      </w:r>
      <w:r w:rsidDel="00000000" w:rsidR="00000000" w:rsidRPr="00000000">
        <w:rPr>
          <w:rFonts w:ascii="Arial" w:cs="Arial" w:eastAsia="Arial" w:hAnsi="Arial"/>
          <w:i w:val="1"/>
          <w:iCs w:val="1"/>
          <w:sz w:val="22"/>
          <w:szCs w:val="22"/>
          <w:rtl w:val="0"/>
        </w:rPr>
        <w:t xml:space="preserve">Nature Medicine, 25,</w:t>
      </w:r>
      <w:r w:rsidDel="00000000" w:rsidR="00000000" w:rsidRPr="00000000">
        <w:rPr>
          <w:rFonts w:ascii="Arial" w:cs="Arial" w:eastAsia="Arial" w:hAnsi="Arial"/>
          <w:sz w:val="22"/>
          <w:szCs w:val="22"/>
          <w:rtl w:val="0"/>
        </w:rPr>
        <w:t xml:space="preserve"> 44–56. https://doi.org/10.1038/s41591-018-0300-7</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7b2d8b"/>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