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F296" w14:textId="77777777" w:rsidR="004B4BD8" w:rsidRDefault="004B4BD8"/>
    <w:p w14:paraId="48E8691D" w14:textId="77777777" w:rsidR="004B4BD8" w:rsidRDefault="004B4BD8"/>
    <w:p w14:paraId="17156ADC" w14:textId="77777777" w:rsidR="004B4BD8" w:rsidRDefault="004B4BD8"/>
    <w:p w14:paraId="2BB12DEC" w14:textId="77777777" w:rsidR="004B4BD8" w:rsidRDefault="00FE45C3">
      <w:pPr>
        <w:spacing w:after="80"/>
        <w:jc w:val="center"/>
      </w:pPr>
      <w:r>
        <w:rPr>
          <w:b/>
          <w:bCs/>
          <w:color w:val="8B1A1A"/>
          <w:sz w:val="56"/>
          <w:szCs w:val="56"/>
        </w:rPr>
        <w:t>RISK COMPASS</w:t>
      </w:r>
    </w:p>
    <w:p w14:paraId="473B92D2" w14:textId="77777777" w:rsidR="004B4BD8" w:rsidRDefault="00FE45C3">
      <w:pPr>
        <w:spacing w:after="60"/>
        <w:jc w:val="center"/>
      </w:pPr>
      <w:r>
        <w:rPr>
          <w:b/>
          <w:bCs/>
          <w:color w:val="2E4057"/>
          <w:sz w:val="38"/>
          <w:szCs w:val="38"/>
        </w:rPr>
        <w:t>SCENARIO ANALYSIS MODULE</w:t>
      </w:r>
    </w:p>
    <w:p w14:paraId="537C6532" w14:textId="77777777" w:rsidR="004B4BD8" w:rsidRDefault="00FE45C3">
      <w:pPr>
        <w:spacing w:after="40"/>
        <w:jc w:val="center"/>
      </w:pPr>
      <w:r>
        <w:rPr>
          <w:i/>
          <w:iCs/>
          <w:color w:val="4A5568"/>
          <w:sz w:val="26"/>
          <w:szCs w:val="26"/>
        </w:rPr>
        <w:t>Content Specification &amp; CRO Dashboard Data</w:t>
      </w:r>
    </w:p>
    <w:p w14:paraId="66430002" w14:textId="77777777" w:rsidR="004B4BD8" w:rsidRDefault="00FE45C3">
      <w:pPr>
        <w:spacing w:after="200"/>
        <w:jc w:val="center"/>
      </w:pPr>
      <w:r>
        <w:rPr>
          <w:color w:val="4A5568"/>
          <w:sz w:val="22"/>
          <w:szCs w:val="22"/>
        </w:rPr>
        <w:t xml:space="preserve">Atlas International </w:t>
      </w:r>
      <w:proofErr w:type="gramStart"/>
      <w:r>
        <w:rPr>
          <w:color w:val="4A5568"/>
          <w:sz w:val="22"/>
          <w:szCs w:val="22"/>
        </w:rPr>
        <w:t>Bank  |</w:t>
      </w:r>
      <w:proofErr w:type="gramEnd"/>
      <w:r>
        <w:rPr>
          <w:color w:val="4A5568"/>
          <w:sz w:val="22"/>
          <w:szCs w:val="22"/>
        </w:rPr>
        <w:t xml:space="preserve">  Risk &amp; Compliance Insights Platform</w:t>
      </w:r>
    </w:p>
    <w:p w14:paraId="33644C8E" w14:textId="77777777" w:rsidR="004B4BD8" w:rsidRDefault="004B4BD8"/>
    <w:p w14:paraId="29D9B8C8" w14:textId="77777777" w:rsidR="004B4BD8" w:rsidRDefault="004B4BD8"/>
    <w:tbl>
      <w:tblPr>
        <w:tblW w:w="9360" w:type="dxa"/>
        <w:tblBorders>
          <w:top w:val="single" w:sz="1" w:space="0" w:color="EEEEEE"/>
          <w:left w:val="single" w:sz="1" w:space="0" w:color="EEEEEE"/>
          <w:bottom w:val="single" w:sz="1" w:space="0" w:color="EEEEEE"/>
          <w:right w:val="single" w:sz="1" w:space="0" w:color="EEE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4B4BD8" w14:paraId="33C6AA29" w14:textId="77777777">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2092984A" w14:textId="77777777" w:rsidR="004B4BD8" w:rsidRDefault="00FE45C3">
            <w:r>
              <w:rPr>
                <w:b/>
                <w:bCs/>
                <w:color w:val="2E4057"/>
                <w:sz w:val="18"/>
                <w:szCs w:val="18"/>
              </w:rPr>
              <w:t>Module: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2E91B3C" w14:textId="77777777" w:rsidR="004B4BD8" w:rsidRDefault="00FE45C3">
            <w:r>
              <w:rPr>
                <w:color w:val="1C2833"/>
                <w:sz w:val="18"/>
                <w:szCs w:val="18"/>
              </w:rPr>
              <w:t>Scenario Analysis — Ad Hoc External Event &amp; What-If Analysis</w:t>
            </w:r>
          </w:p>
        </w:tc>
      </w:tr>
      <w:tr w:rsidR="004B4BD8" w14:paraId="22998E51" w14:textId="77777777">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677AA6CE" w14:textId="77777777" w:rsidR="004B4BD8" w:rsidRDefault="00FE45C3">
            <w:r>
              <w:rPr>
                <w:b/>
                <w:bCs/>
                <w:color w:val="2E4057"/>
                <w:sz w:val="18"/>
                <w:szCs w:val="18"/>
              </w:rPr>
              <w:t>Purpose: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75E2AB7" w14:textId="77777777" w:rsidR="004B4BD8" w:rsidRDefault="00FE45C3">
            <w:r>
              <w:rPr>
                <w:color w:val="1C2833"/>
                <w:sz w:val="18"/>
                <w:szCs w:val="18"/>
              </w:rPr>
              <w:t>CRO-level single pane of glass view of key external risk scenarios, first and second order impacts, risk compass outputs, and proposed actions</w:t>
            </w:r>
          </w:p>
        </w:tc>
      </w:tr>
      <w:tr w:rsidR="004B4BD8" w14:paraId="311C0580" w14:textId="77777777">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7F5791D" w14:textId="77777777" w:rsidR="004B4BD8" w:rsidRDefault="00FE45C3">
            <w:r>
              <w:rPr>
                <w:b/>
                <w:bCs/>
                <w:color w:val="2E4057"/>
                <w:sz w:val="18"/>
                <w:szCs w:val="18"/>
              </w:rPr>
              <w:t>Scenarios Covered:</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F343683" w14:textId="77777777" w:rsidR="004B4BD8" w:rsidRDefault="00FE45C3">
            <w:r>
              <w:rPr>
                <w:color w:val="1C2833"/>
                <w:sz w:val="18"/>
                <w:szCs w:val="18"/>
              </w:rPr>
              <w:t>4 (Credit Event, Middle East Conflict, Asian Storms, CME Exchange Failure)</w:t>
            </w:r>
          </w:p>
        </w:tc>
      </w:tr>
      <w:tr w:rsidR="004B4BD8" w14:paraId="6FF654CF" w14:textId="77777777">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1B0BC509" w14:textId="77777777" w:rsidR="004B4BD8" w:rsidRDefault="00FE45C3">
            <w:r>
              <w:rPr>
                <w:b/>
                <w:bCs/>
                <w:color w:val="2E4057"/>
                <w:sz w:val="18"/>
                <w:szCs w:val="18"/>
              </w:rPr>
              <w:t>Primary Focus:</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D92B353" w14:textId="77777777" w:rsidR="004B4BD8" w:rsidRDefault="00FE45C3">
            <w:r>
              <w:rPr>
                <w:color w:val="1C2833"/>
                <w:sz w:val="18"/>
                <w:szCs w:val="18"/>
              </w:rPr>
              <w:t>Scenario 4 — Closure of an Exchange due to Cyber Attack (CME Exchange Failure)</w:t>
            </w:r>
          </w:p>
        </w:tc>
      </w:tr>
      <w:tr w:rsidR="004B4BD8" w14:paraId="46D41AC6" w14:textId="77777777">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58208B59" w14:textId="77777777" w:rsidR="004B4BD8" w:rsidRDefault="00FE45C3">
            <w:r>
              <w:rPr>
                <w:b/>
                <w:bCs/>
                <w:color w:val="2E4057"/>
                <w:sz w:val="18"/>
                <w:szCs w:val="18"/>
              </w:rPr>
              <w:t>Framework:</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38EC2CD" w14:textId="77777777" w:rsidR="004B4BD8" w:rsidRDefault="00FE45C3">
            <w:r>
              <w:rPr>
                <w:color w:val="1C2833"/>
                <w:sz w:val="18"/>
                <w:szCs w:val="18"/>
              </w:rPr>
              <w:t>Trigger → Transmission → Taxonomy → Scope → Impact → Action</w:t>
            </w:r>
          </w:p>
        </w:tc>
      </w:tr>
      <w:tr w:rsidR="004B4BD8" w14:paraId="4468704C" w14:textId="77777777">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5213F1C6" w14:textId="77777777" w:rsidR="004B4BD8" w:rsidRDefault="00FE45C3">
            <w:r>
              <w:rPr>
                <w:b/>
                <w:bCs/>
                <w:color w:val="2E4057"/>
                <w:sz w:val="18"/>
                <w:szCs w:val="18"/>
              </w:rPr>
              <w:t>Classification: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22F1C95" w14:textId="77777777" w:rsidR="004B4BD8" w:rsidRDefault="00FE45C3">
            <w:r>
              <w:rPr>
                <w:color w:val="1C2833"/>
                <w:sz w:val="18"/>
                <w:szCs w:val="18"/>
              </w:rPr>
              <w:t>Internal — Board / CRO Restricted</w:t>
            </w:r>
          </w:p>
        </w:tc>
      </w:tr>
      <w:tr w:rsidR="004B4BD8" w14:paraId="50BE19F1" w14:textId="77777777">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5A8EA39" w14:textId="77777777" w:rsidR="004B4BD8" w:rsidRDefault="00FE45C3">
            <w:r>
              <w:rPr>
                <w:b/>
                <w:bCs/>
                <w:color w:val="2E4057"/>
                <w:sz w:val="18"/>
                <w:szCs w:val="18"/>
              </w:rPr>
              <w:t>As at:</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C2E8C02" w14:textId="77777777" w:rsidR="004B4BD8" w:rsidRDefault="00FE45C3">
            <w:r>
              <w:rPr>
                <w:color w:val="1C2833"/>
                <w:sz w:val="18"/>
                <w:szCs w:val="18"/>
              </w:rPr>
              <w:t>19 February 2026</w:t>
            </w:r>
          </w:p>
        </w:tc>
      </w:tr>
    </w:tbl>
    <w:p w14:paraId="27F61E13" w14:textId="77777777" w:rsidR="004B4BD8" w:rsidRDefault="004B4BD8"/>
    <w:p w14:paraId="27EC8B7B" w14:textId="77777777" w:rsidR="004B4BD8" w:rsidRDefault="004B4BD8"/>
    <w:p w14:paraId="38AFB996" w14:textId="77777777" w:rsidR="004B4BD8" w:rsidRDefault="00FE45C3">
      <w:pPr>
        <w:spacing w:before="200"/>
        <w:jc w:val="center"/>
      </w:pPr>
      <w:r>
        <w:rPr>
          <w:b/>
          <w:bCs/>
          <w:color w:val="C0392B"/>
          <w:sz w:val="18"/>
          <w:szCs w:val="18"/>
        </w:rPr>
        <w:t>CONFIDENTIAL — CRO / BOARD RESTRICTED — INTERNAL USE ONLY</w:t>
      </w:r>
    </w:p>
    <w:p w14:paraId="486F8968" w14:textId="77777777" w:rsidR="004B4BD8" w:rsidRDefault="00FE45C3">
      <w:r>
        <w:br w:type="page"/>
      </w:r>
    </w:p>
    <w:p w14:paraId="79F7336B" w14:textId="77777777" w:rsidR="004B4BD8" w:rsidRDefault="00FE45C3">
      <w:pPr>
        <w:pStyle w:val="Heading1"/>
        <w:pBdr>
          <w:bottom w:val="single" w:sz="6" w:space="4" w:color="8B1A1A"/>
        </w:pBdr>
      </w:pPr>
      <w:r>
        <w:lastRenderedPageBreak/>
        <w:t>PART 1 — LANDING PAGE: SCENARIO LIBRARY</w:t>
      </w:r>
    </w:p>
    <w:p w14:paraId="1B7C8B81" w14:textId="77777777" w:rsidR="004B4BD8" w:rsidRDefault="00FE45C3">
      <w:pPr>
        <w:spacing w:after="100"/>
        <w:jc w:val="both"/>
      </w:pPr>
      <w:r>
        <w:rPr>
          <w:color w:val="1C2833"/>
        </w:rPr>
        <w:t>The Scenario Analysis landing page displays four active stress scenarios. Each card presents the real-world event, the date it occurred or was modelled, its macro magnitude, and a short narrative summary. The user clicks any scenario to open the CRO dashboard view for that event. The four scenarios below are ordered by scenario number as shown in the use case register.</w:t>
      </w:r>
    </w:p>
    <w:p w14:paraId="1400A29E" w14:textId="77777777" w:rsidR="004B4BD8" w:rsidRDefault="004B4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564BE7E9" w14:textId="77777777">
        <w:tc>
          <w:tcPr>
            <w:tcW w:w="9360" w:type="dxa"/>
            <w:tcBorders>
              <w:top w:val="single" w:sz="1" w:space="0" w:color="2E4057"/>
              <w:left w:val="single" w:sz="1" w:space="0" w:color="2E4057"/>
              <w:bottom w:val="single" w:sz="1" w:space="0" w:color="2E4057"/>
              <w:right w:val="single" w:sz="1" w:space="0" w:color="2E4057"/>
            </w:tcBorders>
            <w:shd w:val="clear" w:color="auto" w:fill="2E4057"/>
            <w:tcMar>
              <w:top w:w="120" w:type="dxa"/>
              <w:left w:w="200" w:type="dxa"/>
              <w:bottom w:w="120" w:type="dxa"/>
              <w:right w:w="200" w:type="dxa"/>
            </w:tcMar>
          </w:tcPr>
          <w:p w14:paraId="776B3733" w14:textId="77777777" w:rsidR="004B4BD8" w:rsidRDefault="00FE45C3">
            <w:r>
              <w:rPr>
                <w:b/>
                <w:bCs/>
                <w:color w:val="FFCCCC"/>
                <w:sz w:val="18"/>
                <w:szCs w:val="18"/>
              </w:rPr>
              <w:t>SCENARIO 01</w:t>
            </w:r>
          </w:p>
          <w:p w14:paraId="7522E22E" w14:textId="4FA6D03F" w:rsidR="004B4BD8" w:rsidRDefault="00FE45C3">
            <w:r>
              <w:rPr>
                <w:b/>
                <w:bCs/>
                <w:color w:val="FFFFFF"/>
                <w:sz w:val="32"/>
                <w:szCs w:val="32"/>
              </w:rPr>
              <w:t>CREDIT EVENT FOR A TOP 10 LARGE EXPOSURE COUNTERPARTY</w:t>
            </w:r>
          </w:p>
        </w:tc>
      </w:tr>
    </w:tbl>
    <w:p w14:paraId="1C32CE67" w14:textId="77777777" w:rsidR="004B4BD8" w:rsidRDefault="004B4BD8"/>
    <w:p w14:paraId="63E73C65" w14:textId="248D5A44" w:rsidR="00F454E5" w:rsidRDefault="00F454E5">
      <w:pPr>
        <w:spacing w:before="180" w:after="60"/>
        <w:rPr>
          <w:b/>
          <w:bCs/>
          <w:color w:val="1C2833"/>
          <w:sz w:val="21"/>
          <w:szCs w:val="21"/>
        </w:rPr>
      </w:pPr>
      <w:r>
        <w:rPr>
          <w:b/>
          <w:bCs/>
          <w:color w:val="1C2833"/>
          <w:sz w:val="21"/>
          <w:szCs w:val="21"/>
        </w:rPr>
        <w:t xml:space="preserve">Event type: </w:t>
      </w:r>
      <w:r w:rsidR="00EE613C">
        <w:rPr>
          <w:b/>
          <w:bCs/>
          <w:color w:val="1C2833"/>
          <w:sz w:val="21"/>
          <w:szCs w:val="21"/>
        </w:rPr>
        <w:t>Credit Rating Downgrade</w:t>
      </w:r>
    </w:p>
    <w:p w14:paraId="6424F8E4" w14:textId="54FF5EDE" w:rsidR="004B4BD8" w:rsidRDefault="00FE45C3">
      <w:pPr>
        <w:spacing w:before="180" w:after="60"/>
      </w:pPr>
      <w:r>
        <w:rPr>
          <w:b/>
          <w:bCs/>
          <w:color w:val="1C2833"/>
          <w:sz w:val="21"/>
          <w:szCs w:val="21"/>
        </w:rPr>
        <w:t>Event Description</w:t>
      </w:r>
    </w:p>
    <w:p w14:paraId="796D3ADC" w14:textId="48EF9BA8" w:rsidR="004B4BD8" w:rsidRDefault="00FE45C3">
      <w:pPr>
        <w:spacing w:after="100"/>
        <w:jc w:val="both"/>
      </w:pPr>
      <w:r>
        <w:rPr>
          <w:color w:val="1C2833"/>
        </w:rPr>
        <w:t>A top 10 large exposure counterparty — defined as any single entity or group representing ≥1% of the bank's total risk-weighted exposure — experiences a sudden multi-notch credit rating downgrade</w:t>
      </w:r>
      <w:r w:rsidR="005B3E77">
        <w:rPr>
          <w:color w:val="1C2833"/>
        </w:rPr>
        <w:t>. A</w:t>
      </w:r>
      <w:r>
        <w:rPr>
          <w:color w:val="1C2833"/>
        </w:rPr>
        <w:t xml:space="preserve"> prolonged downgrade cycle triggered counterparty risk re-assessment, funding stress, and eventually systemic resolution pressure.</w:t>
      </w:r>
    </w:p>
    <w:p w14:paraId="6E7809AC" w14:textId="77777777" w:rsidR="004B4BD8" w:rsidRDefault="00FE45C3">
      <w:pPr>
        <w:spacing w:after="100"/>
        <w:jc w:val="both"/>
      </w:pPr>
      <w:r>
        <w:rPr>
          <w:color w:val="1C2833"/>
        </w:rPr>
        <w:t>This scenario is particularly relevant given the bank's current exposure to Commercial - Large Corp cluster (331 accounts) and high-value correspondent banking relationships flagged in the Analyse module. A single name default in the top 10 exposure concentration would simultaneously activate credit risk, market risk, liquidity risk, and CCR measurement frameworks.</w:t>
      </w:r>
    </w:p>
    <w:p w14:paraId="0E180027" w14:textId="77777777" w:rsidR="004B4BD8" w:rsidRDefault="004B4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3A3520B4" w14:textId="77777777">
        <w:tc>
          <w:tcPr>
            <w:tcW w:w="9360" w:type="dxa"/>
            <w:tcBorders>
              <w:top w:val="single" w:sz="1" w:space="0" w:color="7D5A00"/>
              <w:left w:val="single" w:sz="18" w:space="0" w:color="7D5A00"/>
              <w:bottom w:val="single" w:sz="1" w:space="0" w:color="7D5A00"/>
              <w:right w:val="single" w:sz="1" w:space="0" w:color="7D5A00"/>
            </w:tcBorders>
            <w:shd w:val="clear" w:color="auto" w:fill="FFFBEB"/>
            <w:tcMar>
              <w:top w:w="100" w:type="dxa"/>
              <w:left w:w="160" w:type="dxa"/>
              <w:bottom w:w="100" w:type="dxa"/>
              <w:right w:w="160" w:type="dxa"/>
            </w:tcMar>
          </w:tcPr>
          <w:p w14:paraId="49CA849A" w14:textId="77777777" w:rsidR="004B4BD8" w:rsidRDefault="00FE45C3">
            <w:r>
              <w:rPr>
                <w:b/>
                <w:bCs/>
                <w:color w:val="7D5A00"/>
              </w:rPr>
              <w:t>Scenario Relevance for AIB</w:t>
            </w:r>
          </w:p>
          <w:p w14:paraId="794DD6C4" w14:textId="77777777" w:rsidR="004B4BD8" w:rsidRDefault="00FE45C3">
            <w:pPr>
              <w:spacing w:before="40"/>
            </w:pPr>
            <w:r>
              <w:rPr>
                <w:color w:val="1C2833"/>
                <w:sz w:val="19"/>
                <w:szCs w:val="19"/>
              </w:rPr>
              <w:t>Current top 10 counterparty exposures include 8 HIGH risk-rated entities with combined gross bilateral exposure exceeding £38 billion. First Gulf Trade Bank (UAE, £8.7bn), Eurasian Commerce Holdings (Cyprus, £6.3bn), and Singapore Pacific Finance (£5.9bn) represent the highest concentration risk. A 2-notch downgrade on any of these would trigger mandatory EDD review, potential limit breach, and SAR assessment.</w:t>
            </w:r>
          </w:p>
        </w:tc>
      </w:tr>
    </w:tbl>
    <w:p w14:paraId="23346AD7" w14:textId="77777777" w:rsidR="004B4BD8" w:rsidRDefault="00FE45C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1F04E58A" w14:textId="77777777">
        <w:tc>
          <w:tcPr>
            <w:tcW w:w="9360" w:type="dxa"/>
            <w:tcBorders>
              <w:top w:val="single" w:sz="1" w:space="0" w:color="2E4057"/>
              <w:left w:val="single" w:sz="1" w:space="0" w:color="2E4057"/>
              <w:bottom w:val="single" w:sz="1" w:space="0" w:color="2E4057"/>
              <w:right w:val="single" w:sz="1" w:space="0" w:color="2E4057"/>
            </w:tcBorders>
            <w:shd w:val="clear" w:color="auto" w:fill="2E4057"/>
            <w:tcMar>
              <w:top w:w="120" w:type="dxa"/>
              <w:left w:w="200" w:type="dxa"/>
              <w:bottom w:w="120" w:type="dxa"/>
              <w:right w:w="200" w:type="dxa"/>
            </w:tcMar>
          </w:tcPr>
          <w:p w14:paraId="2CF37E97" w14:textId="77777777" w:rsidR="004B4BD8" w:rsidRDefault="00FE45C3">
            <w:r>
              <w:rPr>
                <w:b/>
                <w:bCs/>
                <w:color w:val="FFCCCC"/>
                <w:sz w:val="18"/>
                <w:szCs w:val="18"/>
              </w:rPr>
              <w:lastRenderedPageBreak/>
              <w:t>SCENARIO 02</w:t>
            </w:r>
          </w:p>
          <w:p w14:paraId="4C777D0B" w14:textId="4621C82F" w:rsidR="004B4BD8" w:rsidRDefault="00FE45C3">
            <w:r>
              <w:rPr>
                <w:b/>
                <w:bCs/>
                <w:color w:val="FFFFFF"/>
                <w:sz w:val="32"/>
                <w:szCs w:val="32"/>
              </w:rPr>
              <w:t>MIDDLE EAST REGION CONFLICT AND CLOSURE OF THE STRAIT OF HORMUZ</w:t>
            </w:r>
          </w:p>
        </w:tc>
      </w:tr>
    </w:tbl>
    <w:p w14:paraId="49F8A884" w14:textId="77777777" w:rsidR="004B4BD8" w:rsidRDefault="004B4BD8"/>
    <w:p w14:paraId="543111B1" w14:textId="0B8FA003" w:rsidR="007A72BC" w:rsidRDefault="007A72BC" w:rsidP="007A72BC">
      <w:pPr>
        <w:spacing w:before="180" w:after="60"/>
        <w:rPr>
          <w:b/>
          <w:bCs/>
          <w:color w:val="1C2833"/>
          <w:sz w:val="21"/>
          <w:szCs w:val="21"/>
        </w:rPr>
      </w:pPr>
      <w:r>
        <w:rPr>
          <w:b/>
          <w:bCs/>
          <w:color w:val="1C2833"/>
          <w:sz w:val="21"/>
          <w:szCs w:val="21"/>
        </w:rPr>
        <w:t>Event type</w:t>
      </w:r>
      <w:r w:rsidR="00EC64E6">
        <w:rPr>
          <w:b/>
          <w:bCs/>
          <w:color w:val="1C2833"/>
          <w:sz w:val="21"/>
          <w:szCs w:val="21"/>
        </w:rPr>
        <w:t>: Geopolitical Conflict</w:t>
      </w:r>
    </w:p>
    <w:p w14:paraId="63659B41" w14:textId="320F1049" w:rsidR="004B4BD8" w:rsidRDefault="00FE45C3">
      <w:pPr>
        <w:spacing w:before="180" w:after="60"/>
      </w:pPr>
      <w:r>
        <w:rPr>
          <w:b/>
          <w:bCs/>
          <w:color w:val="1C2833"/>
          <w:sz w:val="21"/>
          <w:szCs w:val="21"/>
        </w:rPr>
        <w:t>Event Description</w:t>
      </w:r>
    </w:p>
    <w:p w14:paraId="4C01FB82" w14:textId="77777777" w:rsidR="004B4BD8" w:rsidRDefault="00FE45C3">
      <w:pPr>
        <w:spacing w:after="100"/>
        <w:jc w:val="both"/>
      </w:pPr>
      <w:r>
        <w:rPr>
          <w:color w:val="1C2833"/>
        </w:rPr>
        <w:t>An escalation of Middle East regional conflict — modelled on the Iran-US tanker seizure episode and the Houthi Red Sea campaign — results in the partial or full closure of the Strait of Hormuz. The Strait is the single most important oil chokepoint globally; its closure would create an immediate oil supply shock, driving energy prices sharply higher and transmitting inflation across all major economies.</w:t>
      </w:r>
    </w:p>
    <w:p w14:paraId="031A7D7A" w14:textId="77777777" w:rsidR="004B4BD8" w:rsidRDefault="00FE45C3">
      <w:pPr>
        <w:spacing w:after="100"/>
        <w:jc w:val="both"/>
      </w:pPr>
      <w:r>
        <w:rPr>
          <w:color w:val="1C2833"/>
        </w:rPr>
        <w:t>For a bank with GCC correspondent banking relationships, trade finance exposure to UAE and Turkey corridors, and interest rate sensitivity on its balance sheet, this scenario simultaneously activates Treasury Risk (IRRBB due to central bank response), Credit Risk (oil-dependent sector exposures), Traded Risk (commodity and FX desks), and Resilience Risk (people, technology, and operations in affected geographies).</w:t>
      </w:r>
    </w:p>
    <w:p w14:paraId="2A4C5D3B" w14:textId="77777777" w:rsidR="004B4BD8" w:rsidRDefault="004B4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32E56767" w14:textId="77777777">
        <w:tc>
          <w:tcPr>
            <w:tcW w:w="9360" w:type="dxa"/>
            <w:tcBorders>
              <w:top w:val="single" w:sz="1" w:space="0" w:color="7D5A00"/>
              <w:left w:val="single" w:sz="18" w:space="0" w:color="7D5A00"/>
              <w:bottom w:val="single" w:sz="1" w:space="0" w:color="7D5A00"/>
              <w:right w:val="single" w:sz="1" w:space="0" w:color="7D5A00"/>
            </w:tcBorders>
            <w:shd w:val="clear" w:color="auto" w:fill="FFFBEB"/>
            <w:tcMar>
              <w:top w:w="100" w:type="dxa"/>
              <w:left w:w="160" w:type="dxa"/>
              <w:bottom w:w="100" w:type="dxa"/>
              <w:right w:w="160" w:type="dxa"/>
            </w:tcMar>
          </w:tcPr>
          <w:p w14:paraId="4EA164D8" w14:textId="77777777" w:rsidR="004B4BD8" w:rsidRDefault="00FE45C3">
            <w:r>
              <w:rPr>
                <w:b/>
                <w:bCs/>
                <w:color w:val="7D5A00"/>
              </w:rPr>
              <w:t>Scenario Relevance for AIB</w:t>
            </w:r>
          </w:p>
          <w:p w14:paraId="20A69D18" w14:textId="77777777" w:rsidR="004B4BD8" w:rsidRDefault="00FE45C3">
            <w:pPr>
              <w:spacing w:before="40"/>
            </w:pPr>
            <w:r>
              <w:rPr>
                <w:color w:val="1C2833"/>
                <w:sz w:val="19"/>
                <w:szCs w:val="19"/>
              </w:rPr>
              <w:t>AIB's UAE correspondent banking exposure (£8.7bn via First Gulf Trade Bank) and Turkey trade finance relationships (£3.99bn, Ankara Commercial Bank) represent direct first-order exposure. A sustained oil price shock above $130/barrel would increase credit losses across the bank's GCC-linked commercial book and trigger IRRBB limit review as central banks respond with emergency rate adjustments.</w:t>
            </w:r>
          </w:p>
        </w:tc>
      </w:tr>
    </w:tbl>
    <w:p w14:paraId="25BCB169" w14:textId="77777777" w:rsidR="004B4BD8" w:rsidRDefault="00FE45C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394A0E8F" w14:textId="77777777">
        <w:tc>
          <w:tcPr>
            <w:tcW w:w="9360" w:type="dxa"/>
            <w:tcBorders>
              <w:top w:val="single" w:sz="1" w:space="0" w:color="2E4057"/>
              <w:left w:val="single" w:sz="1" w:space="0" w:color="2E4057"/>
              <w:bottom w:val="single" w:sz="1" w:space="0" w:color="2E4057"/>
              <w:right w:val="single" w:sz="1" w:space="0" w:color="2E4057"/>
            </w:tcBorders>
            <w:shd w:val="clear" w:color="auto" w:fill="2E4057"/>
            <w:tcMar>
              <w:top w:w="120" w:type="dxa"/>
              <w:left w:w="200" w:type="dxa"/>
              <w:bottom w:w="120" w:type="dxa"/>
              <w:right w:w="200" w:type="dxa"/>
            </w:tcMar>
          </w:tcPr>
          <w:p w14:paraId="52EEDE90" w14:textId="77777777" w:rsidR="004B4BD8" w:rsidRDefault="00FE45C3">
            <w:r>
              <w:rPr>
                <w:b/>
                <w:bCs/>
                <w:color w:val="FFCCCC"/>
                <w:sz w:val="18"/>
                <w:szCs w:val="18"/>
              </w:rPr>
              <w:lastRenderedPageBreak/>
              <w:t>SCENARIO 03</w:t>
            </w:r>
          </w:p>
          <w:p w14:paraId="2CC26930" w14:textId="6E2ADC64" w:rsidR="004B4BD8" w:rsidRDefault="00FE45C3">
            <w:r>
              <w:rPr>
                <w:b/>
                <w:bCs/>
                <w:color w:val="FFFFFF"/>
                <w:sz w:val="32"/>
                <w:szCs w:val="32"/>
              </w:rPr>
              <w:t>ASIAN STORMS 'SUPERCHARGED' BY CLIMATE CHANGE</w:t>
            </w:r>
          </w:p>
        </w:tc>
      </w:tr>
    </w:tbl>
    <w:p w14:paraId="27F79523" w14:textId="77777777" w:rsidR="004B4BD8" w:rsidRDefault="004B4BD8"/>
    <w:p w14:paraId="299E208A" w14:textId="48B368C0" w:rsidR="00311647" w:rsidRDefault="00311647" w:rsidP="00311647">
      <w:pPr>
        <w:spacing w:before="180" w:after="60"/>
        <w:rPr>
          <w:b/>
          <w:bCs/>
          <w:color w:val="1C2833"/>
          <w:sz w:val="21"/>
          <w:szCs w:val="21"/>
        </w:rPr>
      </w:pPr>
      <w:r>
        <w:rPr>
          <w:b/>
          <w:bCs/>
          <w:color w:val="1C2833"/>
          <w:sz w:val="21"/>
          <w:szCs w:val="21"/>
        </w:rPr>
        <w:t xml:space="preserve">Event type: </w:t>
      </w:r>
      <w:r>
        <w:rPr>
          <w:b/>
          <w:bCs/>
          <w:color w:val="1C2833"/>
          <w:sz w:val="21"/>
          <w:szCs w:val="21"/>
        </w:rPr>
        <w:t>Physical Climate Risk</w:t>
      </w:r>
    </w:p>
    <w:p w14:paraId="60213129" w14:textId="2C644636" w:rsidR="004B4BD8" w:rsidRDefault="00FE45C3">
      <w:pPr>
        <w:spacing w:before="180" w:after="60"/>
      </w:pPr>
      <w:r>
        <w:rPr>
          <w:b/>
          <w:bCs/>
          <w:color w:val="1C2833"/>
          <w:sz w:val="21"/>
          <w:szCs w:val="21"/>
        </w:rPr>
        <w:t>Event Description</w:t>
      </w:r>
    </w:p>
    <w:p w14:paraId="7467DCBD" w14:textId="77777777" w:rsidR="004B4BD8" w:rsidRDefault="00FE45C3">
      <w:pPr>
        <w:spacing w:after="100"/>
        <w:jc w:val="both"/>
      </w:pPr>
      <w:r>
        <w:rPr>
          <w:color w:val="1C2833"/>
        </w:rPr>
        <w:t>Climate change is intensifying tropical cyclone intensity: storms are forming faster, intensifying more rapidly, and carrying more moisture. A 'supercharged' Asian storm season in Q3 2026 — consistent with IPCC RCP 8.5 warming trajectory — is modelled as 3–4 Category 4/5 typhoons making landfall in Taiwan, Vietnam, the Philippines, and South Korea within 8 weeks.</w:t>
      </w:r>
    </w:p>
    <w:p w14:paraId="4F8C3F9C" w14:textId="77777777" w:rsidR="004B4BD8" w:rsidRDefault="00FE45C3">
      <w:pPr>
        <w:spacing w:after="100"/>
        <w:jc w:val="both"/>
      </w:pPr>
      <w:r>
        <w:rPr>
          <w:color w:val="1C2833"/>
        </w:rPr>
        <w:t xml:space="preserve">The primary financial risk is </w:t>
      </w:r>
      <w:proofErr w:type="gramStart"/>
      <w:r>
        <w:rPr>
          <w:color w:val="1C2833"/>
        </w:rPr>
        <w:t>supply</w:t>
      </w:r>
      <w:proofErr w:type="gramEnd"/>
      <w:r>
        <w:rPr>
          <w:color w:val="1C2833"/>
        </w:rPr>
        <w:t xml:space="preserve"> chain disruption cascading through the bank's corporate lending book, particularly sectors with concentrated Asian manufacturing exposure. Secondary risks include sovereign credit migration (Philippines, Vietnam now on FATF </w:t>
      </w:r>
      <w:proofErr w:type="spellStart"/>
      <w:r>
        <w:rPr>
          <w:color w:val="1C2833"/>
        </w:rPr>
        <w:t>greylist</w:t>
      </w:r>
      <w:proofErr w:type="spellEnd"/>
      <w:r>
        <w:rPr>
          <w:color w:val="1C2833"/>
        </w:rPr>
        <w:t>), equity market dislocation in Asian indices, and insurance sector losses that transmit to the bank's asset management and structured product portfolios.</w:t>
      </w:r>
    </w:p>
    <w:p w14:paraId="527134BD" w14:textId="77777777" w:rsidR="004B4BD8" w:rsidRDefault="004B4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46D34604" w14:textId="77777777">
        <w:tc>
          <w:tcPr>
            <w:tcW w:w="9360" w:type="dxa"/>
            <w:tcBorders>
              <w:top w:val="single" w:sz="1" w:space="0" w:color="1E5631"/>
              <w:left w:val="single" w:sz="18" w:space="0" w:color="1E5631"/>
              <w:bottom w:val="single" w:sz="1" w:space="0" w:color="1E5631"/>
              <w:right w:val="single" w:sz="1" w:space="0" w:color="1E5631"/>
            </w:tcBorders>
            <w:shd w:val="clear" w:color="auto" w:fill="F0FDF4"/>
            <w:tcMar>
              <w:top w:w="100" w:type="dxa"/>
              <w:left w:w="160" w:type="dxa"/>
              <w:bottom w:w="100" w:type="dxa"/>
              <w:right w:w="160" w:type="dxa"/>
            </w:tcMar>
          </w:tcPr>
          <w:p w14:paraId="5C01142B" w14:textId="77777777" w:rsidR="004B4BD8" w:rsidRDefault="00FE45C3">
            <w:r>
              <w:rPr>
                <w:b/>
                <w:bCs/>
                <w:color w:val="1E5631"/>
              </w:rPr>
              <w:t>Scenario Relevance for AIB</w:t>
            </w:r>
          </w:p>
          <w:p w14:paraId="306FA9D6" w14:textId="77777777" w:rsidR="004B4BD8" w:rsidRDefault="00FE45C3">
            <w:pPr>
              <w:spacing w:before="40"/>
            </w:pPr>
            <w:r>
              <w:rPr>
                <w:color w:val="1C2833"/>
                <w:sz w:val="19"/>
                <w:szCs w:val="19"/>
              </w:rPr>
              <w:t>AIB holds commercial lending exposure to semiconductor and automotive sector entities in the bank's Commercial - Large Corp cluster. The Vietnam nexus customer review (340 accounts, £47M annual volume) adds regulatory complexity to any credit review triggered by this scenario. The bank's operational resilience plan must be tested against potential disruption to technology infrastructure located in or dependent on Asian data centres.</w:t>
            </w:r>
          </w:p>
        </w:tc>
      </w:tr>
    </w:tbl>
    <w:p w14:paraId="3231E809" w14:textId="77777777" w:rsidR="004B4BD8" w:rsidRDefault="00FE45C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581E2123" w14:textId="77777777">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3F9F8047" w14:textId="77777777" w:rsidR="004B4BD8" w:rsidRDefault="00FE45C3">
            <w:r>
              <w:rPr>
                <w:b/>
                <w:bCs/>
                <w:color w:val="FFCCCC"/>
                <w:sz w:val="18"/>
                <w:szCs w:val="18"/>
              </w:rPr>
              <w:lastRenderedPageBreak/>
              <w:t>SCENARIO 04</w:t>
            </w:r>
          </w:p>
          <w:p w14:paraId="26CE6C51" w14:textId="31694DB1" w:rsidR="004B4BD8" w:rsidRDefault="00FE45C3">
            <w:r>
              <w:rPr>
                <w:b/>
                <w:bCs/>
                <w:color w:val="FFFFFF"/>
                <w:sz w:val="32"/>
                <w:szCs w:val="32"/>
              </w:rPr>
              <w:t>CLOSURE OF AN EXCHANGE DUE TO CYBER ATTACK</w:t>
            </w:r>
          </w:p>
        </w:tc>
      </w:tr>
    </w:tbl>
    <w:p w14:paraId="0DF65B21" w14:textId="77777777" w:rsidR="004B4BD8" w:rsidRDefault="004B4BD8"/>
    <w:p w14:paraId="7159BC37" w14:textId="77777777" w:rsidR="007573F5" w:rsidRDefault="007573F5" w:rsidP="007573F5">
      <w:pPr>
        <w:spacing w:before="180" w:after="60"/>
        <w:rPr>
          <w:b/>
          <w:bCs/>
          <w:color w:val="1C2833"/>
          <w:sz w:val="21"/>
          <w:szCs w:val="21"/>
        </w:rPr>
      </w:pPr>
      <w:r>
        <w:rPr>
          <w:b/>
          <w:bCs/>
          <w:color w:val="1C2833"/>
          <w:sz w:val="21"/>
          <w:szCs w:val="21"/>
        </w:rPr>
        <w:t>Event type: Physical Climate Risk</w:t>
      </w:r>
    </w:p>
    <w:p w14:paraId="3F12B178" w14:textId="3EC0EA7E" w:rsidR="004B4BD8" w:rsidRDefault="00FE45C3">
      <w:pPr>
        <w:spacing w:before="180" w:after="60"/>
      </w:pPr>
      <w:r>
        <w:rPr>
          <w:b/>
          <w:bCs/>
          <w:color w:val="1C2833"/>
          <w:sz w:val="21"/>
          <w:szCs w:val="21"/>
        </w:rPr>
        <w:t>Event Description</w:t>
      </w:r>
    </w:p>
    <w:p w14:paraId="4B2F1013" w14:textId="77777777" w:rsidR="004B4BD8" w:rsidRDefault="00FE45C3">
      <w:pPr>
        <w:spacing w:after="100"/>
        <w:jc w:val="both"/>
      </w:pPr>
      <w:r>
        <w:rPr>
          <w:color w:val="1C2833"/>
        </w:rPr>
        <w:t xml:space="preserve">A sophisticated, state-sponsored </w:t>
      </w:r>
      <w:proofErr w:type="spellStart"/>
      <w:r>
        <w:rPr>
          <w:color w:val="1C2833"/>
        </w:rPr>
        <w:t>cyber attack</w:t>
      </w:r>
      <w:proofErr w:type="spellEnd"/>
      <w:r>
        <w:rPr>
          <w:color w:val="1C2833"/>
        </w:rPr>
        <w:t xml:space="preserve"> targets CME Group's core trading and clearing infrastructure — the matching engine, </w:t>
      </w:r>
      <w:proofErr w:type="spellStart"/>
      <w:r>
        <w:rPr>
          <w:color w:val="1C2833"/>
        </w:rPr>
        <w:t>ClearPort</w:t>
      </w:r>
      <w:proofErr w:type="spellEnd"/>
      <w:r>
        <w:rPr>
          <w:color w:val="1C2833"/>
        </w:rPr>
        <w:t xml:space="preserve"> clearing system, and the margin management platform. Unlike a DDoS attack (which the LME and NZX experienced), this scenario involves a destructive attack on settlement infrastructure, meaning the exchange cannot simply restore from backup without risk of data integrity compromise.</w:t>
      </w:r>
    </w:p>
    <w:p w14:paraId="67888DAE" w14:textId="77777777" w:rsidR="004B4BD8" w:rsidRDefault="00FE45C3">
      <w:pPr>
        <w:spacing w:after="100"/>
        <w:jc w:val="both"/>
      </w:pPr>
      <w:r>
        <w:rPr>
          <w:color w:val="1C2833"/>
        </w:rPr>
        <w:t>The 3–</w:t>
      </w:r>
      <w:proofErr w:type="gramStart"/>
      <w:r>
        <w:rPr>
          <w:color w:val="1C2833"/>
        </w:rPr>
        <w:t>5 day</w:t>
      </w:r>
      <w:proofErr w:type="gramEnd"/>
      <w:r>
        <w:rPr>
          <w:color w:val="1C2833"/>
        </w:rPr>
        <w:t xml:space="preserve"> closure creates a cascade of compounding problems: initial margin calls cannot be processed, variation margin flows stop, hedges cannot be adjusted, and banks with large exchange-traded derivatives books face unhedged directional exposure to market moves they cannot offset. The collateral management process breaks down because the central clearing counterparty (CCP) cannot determine current exposure levels.</w:t>
      </w:r>
    </w:p>
    <w:p w14:paraId="7CB031CF" w14:textId="77777777" w:rsidR="004B4BD8" w:rsidRDefault="00FE45C3">
      <w:pPr>
        <w:spacing w:after="100"/>
        <w:jc w:val="both"/>
      </w:pPr>
      <w:r>
        <w:rPr>
          <w:color w:val="1C2833"/>
        </w:rPr>
        <w:t xml:space="preserve">Critically, this scenario is not a market event — it is an infrastructure event. Risk limits designed around market volatility are not calibrated for exchange unavailability. The standard </w:t>
      </w:r>
      <w:proofErr w:type="spellStart"/>
      <w:r>
        <w:rPr>
          <w:color w:val="1C2833"/>
        </w:rPr>
        <w:t>VaR</w:t>
      </w:r>
      <w:proofErr w:type="spellEnd"/>
      <w:r>
        <w:rPr>
          <w:color w:val="1C2833"/>
        </w:rPr>
        <w:t xml:space="preserve"> framework assumes continuous pricing; a 5-day gap in observable prices creates model breakdown.</w:t>
      </w:r>
    </w:p>
    <w:p w14:paraId="0E73DE18" w14:textId="77777777" w:rsidR="004B4BD8" w:rsidRDefault="00FE45C3">
      <w:r>
        <w:br w:type="page"/>
      </w:r>
    </w:p>
    <w:p w14:paraId="0E1BF6FE" w14:textId="359B7121" w:rsidR="004B4BD8" w:rsidRDefault="00FE45C3">
      <w:pPr>
        <w:pStyle w:val="Heading1"/>
        <w:pBdr>
          <w:bottom w:val="single" w:sz="6" w:space="4" w:color="8B1A1A"/>
        </w:pBdr>
      </w:pPr>
      <w:r>
        <w:lastRenderedPageBreak/>
        <w:t>PART 2 — CRO DASHBOARD</w:t>
      </w:r>
    </w:p>
    <w:p w14:paraId="61DF318F" w14:textId="4E25085D" w:rsidR="004B4BD8" w:rsidRDefault="004B4BD8">
      <w:pPr>
        <w:spacing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1B0CFF23" w14:textId="77777777">
        <w:tc>
          <w:tcPr>
            <w:tcW w:w="9360" w:type="dxa"/>
            <w:tcBorders>
              <w:top w:val="single" w:sz="1" w:space="0" w:color="8B1A1A"/>
              <w:left w:val="single" w:sz="18" w:space="0" w:color="8B1A1A"/>
              <w:bottom w:val="single" w:sz="1" w:space="0" w:color="8B1A1A"/>
              <w:right w:val="single" w:sz="1" w:space="0" w:color="8B1A1A"/>
            </w:tcBorders>
            <w:shd w:val="clear" w:color="auto" w:fill="FDF2F2"/>
            <w:tcMar>
              <w:top w:w="100" w:type="dxa"/>
              <w:left w:w="160" w:type="dxa"/>
              <w:bottom w:w="100" w:type="dxa"/>
              <w:right w:w="160" w:type="dxa"/>
            </w:tcMar>
          </w:tcPr>
          <w:p w14:paraId="4A7D1922" w14:textId="36BDDE5D" w:rsidR="004B4BD8" w:rsidRDefault="00FE45C3">
            <w:r>
              <w:rPr>
                <w:b/>
                <w:bCs/>
                <w:color w:val="8B1A1A"/>
              </w:rPr>
              <w:t>CME EXCHANGE FAILURE</w:t>
            </w:r>
          </w:p>
          <w:p w14:paraId="3C3A138E" w14:textId="10DE8607" w:rsidR="004B4BD8" w:rsidRDefault="00FE45C3">
            <w:pPr>
              <w:spacing w:before="40"/>
            </w:pPr>
            <w:r>
              <w:rPr>
                <w:color w:val="1C2833"/>
                <w:sz w:val="19"/>
                <w:szCs w:val="19"/>
              </w:rPr>
              <w:t xml:space="preserve">Closure of an exchange due to a </w:t>
            </w:r>
            <w:r w:rsidR="00D5564E">
              <w:rPr>
                <w:color w:val="1C2833"/>
                <w:sz w:val="19"/>
                <w:szCs w:val="19"/>
              </w:rPr>
              <w:t>cyber-attack</w:t>
            </w:r>
            <w:r>
              <w:rPr>
                <w:color w:val="1C2833"/>
                <w:sz w:val="19"/>
                <w:szCs w:val="19"/>
              </w:rPr>
              <w:t>. Duration: 3–5 business days. Status: ACTIVE SCENARIO — Immediate management attention required. Last updated: 19 February 2026.</w:t>
            </w:r>
          </w:p>
        </w:tc>
      </w:tr>
      <w:tr w:rsidR="00593B53" w14:paraId="0ABBBA5B" w14:textId="77777777" w:rsidTr="00593B53">
        <w:tc>
          <w:tcPr>
            <w:tcW w:w="9360" w:type="dxa"/>
            <w:tcBorders>
              <w:top w:val="single" w:sz="1" w:space="0" w:color="8B1A1A"/>
              <w:left w:val="single" w:sz="18" w:space="0" w:color="8B1A1A"/>
              <w:bottom w:val="single" w:sz="1" w:space="0" w:color="8B1A1A"/>
              <w:right w:val="single" w:sz="1" w:space="0" w:color="8B1A1A"/>
            </w:tcBorders>
            <w:shd w:val="clear" w:color="auto" w:fill="FDF2F2"/>
            <w:tcMar>
              <w:top w:w="100" w:type="dxa"/>
              <w:left w:w="160" w:type="dxa"/>
              <w:bottom w:w="100" w:type="dxa"/>
              <w:right w:w="160" w:type="dxa"/>
            </w:tcMar>
          </w:tcPr>
          <w:p w14:paraId="0D86B9FA" w14:textId="274FD190" w:rsidR="00593B53" w:rsidRPr="00593B53" w:rsidRDefault="00593B53" w:rsidP="00EF77AB">
            <w:pPr>
              <w:rPr>
                <w:b/>
                <w:bCs/>
                <w:color w:val="8B1A1A"/>
              </w:rPr>
            </w:pPr>
            <w:r>
              <w:rPr>
                <w:b/>
                <w:bCs/>
                <w:color w:val="8B1A1A"/>
              </w:rPr>
              <w:t>Summary Statement</w:t>
            </w:r>
          </w:p>
          <w:p w14:paraId="04995E1A" w14:textId="77777777" w:rsidR="00593B53" w:rsidRPr="00593B53" w:rsidRDefault="00593B53" w:rsidP="00593B53">
            <w:pPr>
              <w:rPr>
                <w:color w:val="8B1A1A"/>
              </w:rPr>
            </w:pPr>
            <w:r w:rsidRPr="00593B53">
              <w:t xml:space="preserve">The CME Exchange Failure scenario is unique in that it is not a market event but an infrastructure event. All standard risk management tools — </w:t>
            </w:r>
            <w:proofErr w:type="spellStart"/>
            <w:r w:rsidRPr="00593B53">
              <w:t>VaR</w:t>
            </w:r>
            <w:proofErr w:type="spellEnd"/>
            <w:r w:rsidRPr="00593B53">
              <w:t>, delta hedging, margin management — assume exchange availability. The primary risk management response is therefore operational (activate BCP, engage OTC fallbacks, preserve capital) rather than financial (hedging). The priority is to minimise the accumulation of unhedged sensitivity and preserve the bank's survival horizon while communicating proactively with regulators, clients, and the Board.</w:t>
            </w:r>
          </w:p>
        </w:tc>
      </w:tr>
    </w:tbl>
    <w:p w14:paraId="5CA49F4E" w14:textId="77777777" w:rsidR="004B4BD8" w:rsidRDefault="004B4BD8"/>
    <w:p w14:paraId="2648E181" w14:textId="3054A2DD" w:rsidR="004B4BD8" w:rsidRDefault="00FE45C3" w:rsidP="00E1482E">
      <w:pPr>
        <w:pStyle w:val="Heading2"/>
        <w:numPr>
          <w:ilvl w:val="0"/>
          <w:numId w:val="3"/>
        </w:numPr>
        <w:spacing w:before="220"/>
      </w:pPr>
      <w:r>
        <w:t>FIRST ORDER IMPACT — Risk Stripes Directly Activated</w:t>
      </w:r>
    </w:p>
    <w:p w14:paraId="54FFE8B4" w14:textId="77777777" w:rsidR="004B4BD8" w:rsidRDefault="00FE45C3">
      <w:pPr>
        <w:spacing w:after="100"/>
      </w:pPr>
      <w:r>
        <w:rPr>
          <w:color w:val="1C2833"/>
        </w:rPr>
        <w:t>First order impacts are those arising directly from the exchange closure within hours to 2 days.</w:t>
      </w:r>
    </w:p>
    <w:p w14:paraId="788F2F3B" w14:textId="77777777" w:rsidR="004B4BD8" w:rsidRDefault="004B4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1617"/>
        <w:gridCol w:w="4160"/>
        <w:gridCol w:w="1232"/>
      </w:tblGrid>
      <w:tr w:rsidR="004B4BD8" w14:paraId="14E596DA" w14:textId="77777777" w:rsidTr="00E1482E">
        <w:tc>
          <w:tcPr>
            <w:tcW w:w="2351"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2813F594" w14:textId="77777777" w:rsidR="004B4BD8" w:rsidRDefault="00FE45C3">
            <w:r>
              <w:rPr>
                <w:b/>
                <w:bCs/>
                <w:color w:val="FFFFFF"/>
                <w:sz w:val="19"/>
                <w:szCs w:val="19"/>
              </w:rPr>
              <w:t>Risk Stripe</w:t>
            </w:r>
          </w:p>
        </w:tc>
        <w:tc>
          <w:tcPr>
            <w:tcW w:w="1617"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20C0EE15" w14:textId="77777777" w:rsidR="004B4BD8" w:rsidRDefault="00FE45C3">
            <w:r>
              <w:rPr>
                <w:b/>
                <w:bCs/>
                <w:color w:val="FFFFFF"/>
                <w:sz w:val="19"/>
                <w:szCs w:val="19"/>
              </w:rPr>
              <w:t>Risk Measurement</w:t>
            </w:r>
          </w:p>
        </w:tc>
        <w:tc>
          <w:tcPr>
            <w:tcW w:w="416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247A61C4" w14:textId="77777777" w:rsidR="004B4BD8" w:rsidRDefault="00FE45C3">
            <w:r>
              <w:rPr>
                <w:b/>
                <w:bCs/>
                <w:color w:val="FFFFFF"/>
                <w:sz w:val="19"/>
                <w:szCs w:val="19"/>
              </w:rPr>
              <w:t>Impact</w:t>
            </w:r>
          </w:p>
        </w:tc>
        <w:tc>
          <w:tcPr>
            <w:tcW w:w="1232"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06055048" w14:textId="77777777" w:rsidR="004B4BD8" w:rsidRDefault="00FE45C3">
            <w:r>
              <w:rPr>
                <w:b/>
                <w:bCs/>
                <w:color w:val="FFFFFF"/>
                <w:sz w:val="19"/>
                <w:szCs w:val="19"/>
              </w:rPr>
              <w:t>Severity</w:t>
            </w:r>
          </w:p>
        </w:tc>
      </w:tr>
      <w:tr w:rsidR="004B4BD8" w14:paraId="7921319F" w14:textId="77777777" w:rsidTr="00E1482E">
        <w:tc>
          <w:tcPr>
            <w:tcW w:w="23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D8E19E" w14:textId="77777777" w:rsidR="004B4BD8" w:rsidRDefault="00FE45C3">
            <w:r>
              <w:rPr>
                <w:b/>
                <w:bCs/>
                <w:color w:val="C0392B"/>
                <w:sz w:val="18"/>
                <w:szCs w:val="18"/>
              </w:rPr>
              <w:t>Traded Risk — Market Risk</w:t>
            </w:r>
          </w:p>
        </w:tc>
        <w:tc>
          <w:tcPr>
            <w:tcW w:w="161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543BA0" w14:textId="77777777" w:rsidR="004B4BD8" w:rsidRDefault="00FE45C3">
            <w:r>
              <w:rPr>
                <w:color w:val="1C2833"/>
                <w:sz w:val="18"/>
                <w:szCs w:val="18"/>
              </w:rPr>
              <w:t xml:space="preserve">Trading </w:t>
            </w:r>
            <w:proofErr w:type="spellStart"/>
            <w:r>
              <w:rPr>
                <w:color w:val="1C2833"/>
                <w:sz w:val="18"/>
                <w:szCs w:val="18"/>
              </w:rPr>
              <w:t>VaR</w:t>
            </w:r>
            <w:proofErr w:type="spellEnd"/>
            <w:r>
              <w:rPr>
                <w:color w:val="1C2833"/>
                <w:sz w:val="18"/>
                <w:szCs w:val="18"/>
              </w:rPr>
              <w:t>, PVBP, CS01, FX net short position</w:t>
            </w:r>
          </w:p>
        </w:tc>
        <w:tc>
          <w:tcPr>
            <w:tcW w:w="4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8018B3" w14:textId="77777777" w:rsidR="004B4BD8" w:rsidRDefault="00FE45C3">
            <w:r>
              <w:rPr>
                <w:color w:val="1C2833"/>
                <w:sz w:val="18"/>
                <w:szCs w:val="18"/>
              </w:rPr>
              <w:t xml:space="preserve">Trading </w:t>
            </w:r>
            <w:proofErr w:type="spellStart"/>
            <w:r>
              <w:rPr>
                <w:color w:val="1C2833"/>
                <w:sz w:val="18"/>
                <w:szCs w:val="18"/>
              </w:rPr>
              <w:t>VaR</w:t>
            </w:r>
            <w:proofErr w:type="spellEnd"/>
            <w:r>
              <w:rPr>
                <w:color w:val="1C2833"/>
                <w:sz w:val="18"/>
                <w:szCs w:val="18"/>
              </w:rPr>
              <w:t xml:space="preserve"> framework breaks down — CME prices unavailable for 5 days. PVBP and CS01 cannot be recalculated on exchange-cleared rates positions. FX net short positions </w:t>
            </w:r>
            <w:proofErr w:type="spellStart"/>
            <w:r>
              <w:rPr>
                <w:color w:val="1C2833"/>
                <w:sz w:val="18"/>
                <w:szCs w:val="18"/>
              </w:rPr>
              <w:t>unhedgeable</w:t>
            </w:r>
            <w:proofErr w:type="spellEnd"/>
            <w:r>
              <w:rPr>
                <w:color w:val="1C2833"/>
                <w:sz w:val="18"/>
                <w:szCs w:val="18"/>
              </w:rPr>
              <w:t xml:space="preserve"> via CME FX futures.</w:t>
            </w:r>
          </w:p>
        </w:tc>
        <w:tc>
          <w:tcPr>
            <w:tcW w:w="1232" w:type="dxa"/>
            <w:tcBorders>
              <w:top w:val="single" w:sz="1" w:space="0" w:color="C0392B"/>
              <w:left w:val="single" w:sz="1" w:space="0" w:color="C0392B"/>
              <w:bottom w:val="single" w:sz="1" w:space="0" w:color="C0392B"/>
              <w:right w:val="single" w:sz="1" w:space="0" w:color="C0392B"/>
            </w:tcBorders>
            <w:shd w:val="clear" w:color="auto" w:fill="FADBD8"/>
            <w:tcMar>
              <w:top w:w="80" w:type="dxa"/>
              <w:left w:w="80" w:type="dxa"/>
              <w:bottom w:w="80" w:type="dxa"/>
              <w:right w:w="80" w:type="dxa"/>
            </w:tcMar>
          </w:tcPr>
          <w:p w14:paraId="70409857" w14:textId="77777777" w:rsidR="004B4BD8" w:rsidRDefault="00FE45C3">
            <w:pPr>
              <w:jc w:val="center"/>
            </w:pPr>
            <w:r>
              <w:rPr>
                <w:b/>
                <w:bCs/>
                <w:color w:val="C0392B"/>
                <w:sz w:val="16"/>
                <w:szCs w:val="16"/>
              </w:rPr>
              <w:t>CRITICAL</w:t>
            </w:r>
          </w:p>
        </w:tc>
      </w:tr>
      <w:tr w:rsidR="004B4BD8" w14:paraId="2AD0996C" w14:textId="77777777" w:rsidTr="00E1482E">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98FE2" w14:textId="77777777" w:rsidR="004B4BD8" w:rsidRDefault="00FE45C3">
            <w:r>
              <w:rPr>
                <w:b/>
                <w:bCs/>
                <w:color w:val="C0392B"/>
                <w:sz w:val="18"/>
                <w:szCs w:val="18"/>
              </w:rPr>
              <w:t>Traded Risk — Market Risk</w:t>
            </w:r>
          </w:p>
        </w:tc>
        <w:tc>
          <w:tcPr>
            <w:tcW w:w="16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192F7" w14:textId="77777777" w:rsidR="004B4BD8" w:rsidRDefault="00FE45C3">
            <w:r>
              <w:rPr>
                <w:color w:val="1C2833"/>
                <w:sz w:val="18"/>
                <w:szCs w:val="18"/>
              </w:rPr>
              <w:t xml:space="preserve">Trading </w:t>
            </w:r>
            <w:proofErr w:type="spellStart"/>
            <w:r>
              <w:rPr>
                <w:color w:val="1C2833"/>
                <w:sz w:val="18"/>
                <w:szCs w:val="18"/>
              </w:rPr>
              <w:t>VaR</w:t>
            </w:r>
            <w:proofErr w:type="spellEnd"/>
            <w:r>
              <w:rPr>
                <w:color w:val="1C2833"/>
                <w:sz w:val="18"/>
                <w:szCs w:val="18"/>
              </w:rPr>
              <w:t>, EQ sensitivity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FDA9B" w14:textId="77777777" w:rsidR="004B4BD8" w:rsidRDefault="00FE45C3">
            <w:r>
              <w:rPr>
                <w:color w:val="1C2833"/>
                <w:sz w:val="18"/>
                <w:szCs w:val="18"/>
              </w:rPr>
              <w:t xml:space="preserve">Equity index futures positions (S&amp;P 500, NASDAQ, Russell) cannot be </w:t>
            </w:r>
            <w:proofErr w:type="gramStart"/>
            <w:r>
              <w:rPr>
                <w:color w:val="1C2833"/>
                <w:sz w:val="18"/>
                <w:szCs w:val="18"/>
              </w:rPr>
              <w:t>delta-hedged</w:t>
            </w:r>
            <w:proofErr w:type="gramEnd"/>
            <w:r>
              <w:rPr>
                <w:color w:val="1C2833"/>
                <w:sz w:val="18"/>
                <w:szCs w:val="18"/>
              </w:rPr>
              <w:t>. Exposure/Position metric spikes on unhedged equity book. Potential for significant mark-to-market loss if index moves &gt;3% during closure.</w:t>
            </w:r>
          </w:p>
        </w:tc>
        <w:tc>
          <w:tcPr>
            <w:tcW w:w="1232" w:type="dxa"/>
            <w:tcBorders>
              <w:top w:val="single" w:sz="1" w:space="0" w:color="C0392B"/>
              <w:left w:val="single" w:sz="1" w:space="0" w:color="C0392B"/>
              <w:bottom w:val="single" w:sz="1" w:space="0" w:color="C0392B"/>
              <w:right w:val="single" w:sz="1" w:space="0" w:color="C0392B"/>
            </w:tcBorders>
            <w:shd w:val="clear" w:color="auto" w:fill="FADBD8"/>
            <w:tcMar>
              <w:top w:w="80" w:type="dxa"/>
              <w:left w:w="80" w:type="dxa"/>
              <w:bottom w:w="80" w:type="dxa"/>
              <w:right w:w="80" w:type="dxa"/>
            </w:tcMar>
          </w:tcPr>
          <w:p w14:paraId="49325416" w14:textId="77777777" w:rsidR="004B4BD8" w:rsidRDefault="00FE45C3">
            <w:pPr>
              <w:jc w:val="center"/>
            </w:pPr>
            <w:r>
              <w:rPr>
                <w:b/>
                <w:bCs/>
                <w:color w:val="C0392B"/>
                <w:sz w:val="16"/>
                <w:szCs w:val="16"/>
              </w:rPr>
              <w:t>CRITICAL</w:t>
            </w:r>
          </w:p>
        </w:tc>
      </w:tr>
      <w:tr w:rsidR="004B4BD8" w14:paraId="518C5EAF" w14:textId="77777777" w:rsidTr="00E1482E">
        <w:tc>
          <w:tcPr>
            <w:tcW w:w="23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9A9E60" w14:textId="77777777" w:rsidR="004B4BD8" w:rsidRDefault="00FE45C3">
            <w:r>
              <w:rPr>
                <w:b/>
                <w:bCs/>
                <w:color w:val="C0392B"/>
                <w:sz w:val="18"/>
                <w:szCs w:val="18"/>
              </w:rPr>
              <w:t>Traded Risk — Market Risk</w:t>
            </w:r>
          </w:p>
        </w:tc>
        <w:tc>
          <w:tcPr>
            <w:tcW w:w="161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BA900F" w14:textId="77777777" w:rsidR="004B4BD8" w:rsidRDefault="00FE45C3">
            <w:r>
              <w:rPr>
                <w:color w:val="1C2833"/>
                <w:sz w:val="18"/>
                <w:szCs w:val="18"/>
              </w:rPr>
              <w:t>IR sensitivity, PVBP</w:t>
            </w:r>
          </w:p>
        </w:tc>
        <w:tc>
          <w:tcPr>
            <w:tcW w:w="4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35585A" w14:textId="77777777" w:rsidR="004B4BD8" w:rsidRDefault="00FE45C3">
            <w:r>
              <w:rPr>
                <w:color w:val="1C2833"/>
                <w:sz w:val="18"/>
                <w:szCs w:val="18"/>
              </w:rPr>
              <w:t>Interest rate futures (Eurodollar, SOFR, Treasury futures) positions frozen. Duration exposure on balance sheet cannot be offset via CME rates complex. IRRBB secondary impact if rates move during closure.</w:t>
            </w:r>
          </w:p>
        </w:tc>
        <w:tc>
          <w:tcPr>
            <w:tcW w:w="1232" w:type="dxa"/>
            <w:tcBorders>
              <w:top w:val="single" w:sz="1" w:space="0" w:color="7D5A00"/>
              <w:left w:val="single" w:sz="1" w:space="0" w:color="7D5A00"/>
              <w:bottom w:val="single" w:sz="1" w:space="0" w:color="7D5A00"/>
              <w:right w:val="single" w:sz="1" w:space="0" w:color="7D5A00"/>
            </w:tcBorders>
            <w:shd w:val="clear" w:color="auto" w:fill="FDEBD0"/>
            <w:tcMar>
              <w:top w:w="80" w:type="dxa"/>
              <w:left w:w="80" w:type="dxa"/>
              <w:bottom w:w="80" w:type="dxa"/>
              <w:right w:w="80" w:type="dxa"/>
            </w:tcMar>
          </w:tcPr>
          <w:p w14:paraId="7A8B6AC7" w14:textId="77777777" w:rsidR="004B4BD8" w:rsidRDefault="00FE45C3">
            <w:pPr>
              <w:jc w:val="center"/>
            </w:pPr>
            <w:r>
              <w:rPr>
                <w:b/>
                <w:bCs/>
                <w:color w:val="7D5A00"/>
                <w:sz w:val="16"/>
                <w:szCs w:val="16"/>
              </w:rPr>
              <w:t>HIGH</w:t>
            </w:r>
          </w:p>
        </w:tc>
      </w:tr>
      <w:tr w:rsidR="004B4BD8" w14:paraId="1499D53A" w14:textId="77777777" w:rsidTr="00E1482E">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4C4C" w14:textId="77777777" w:rsidR="004B4BD8" w:rsidRDefault="00FE45C3">
            <w:r>
              <w:rPr>
                <w:b/>
                <w:bCs/>
                <w:color w:val="C0392B"/>
                <w:sz w:val="18"/>
                <w:szCs w:val="18"/>
              </w:rPr>
              <w:t>Operational Risk — Resilience</w:t>
            </w:r>
          </w:p>
        </w:tc>
        <w:tc>
          <w:tcPr>
            <w:tcW w:w="16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0C898" w14:textId="77777777" w:rsidR="004B4BD8" w:rsidRDefault="00FE45C3">
            <w:r>
              <w:rPr>
                <w:color w:val="1C2833"/>
                <w:sz w:val="18"/>
                <w:szCs w:val="18"/>
              </w:rPr>
              <w:t>Operational loss events, KRI breach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C1F8C" w14:textId="77777777" w:rsidR="004B4BD8" w:rsidRDefault="00FE45C3">
            <w:r>
              <w:rPr>
                <w:color w:val="1C2833"/>
                <w:sz w:val="18"/>
                <w:szCs w:val="18"/>
              </w:rPr>
              <w:t>Exchange infrastructure unavailability classified as Critical IBS Downtime exceeding impact tolerance. Operational risk capital charge increases. Business continuity plan activated — OTC fallback execution venues engaged.</w:t>
            </w:r>
          </w:p>
        </w:tc>
        <w:tc>
          <w:tcPr>
            <w:tcW w:w="1232" w:type="dxa"/>
            <w:tcBorders>
              <w:top w:val="single" w:sz="1" w:space="0" w:color="7D5A00"/>
              <w:left w:val="single" w:sz="1" w:space="0" w:color="7D5A00"/>
              <w:bottom w:val="single" w:sz="1" w:space="0" w:color="7D5A00"/>
              <w:right w:val="single" w:sz="1" w:space="0" w:color="7D5A00"/>
            </w:tcBorders>
            <w:shd w:val="clear" w:color="auto" w:fill="FDEBD0"/>
            <w:tcMar>
              <w:top w:w="80" w:type="dxa"/>
              <w:left w:w="80" w:type="dxa"/>
              <w:bottom w:w="80" w:type="dxa"/>
              <w:right w:w="80" w:type="dxa"/>
            </w:tcMar>
          </w:tcPr>
          <w:p w14:paraId="6A031DC4" w14:textId="77777777" w:rsidR="004B4BD8" w:rsidRDefault="00FE45C3">
            <w:pPr>
              <w:jc w:val="center"/>
            </w:pPr>
            <w:r>
              <w:rPr>
                <w:b/>
                <w:bCs/>
                <w:color w:val="7D5A00"/>
                <w:sz w:val="16"/>
                <w:szCs w:val="16"/>
              </w:rPr>
              <w:t>HIGH</w:t>
            </w:r>
          </w:p>
        </w:tc>
      </w:tr>
      <w:tr w:rsidR="004B4BD8" w14:paraId="5D37FF20" w14:textId="77777777" w:rsidTr="00E1482E">
        <w:tc>
          <w:tcPr>
            <w:tcW w:w="23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95D08F" w14:textId="77777777" w:rsidR="004B4BD8" w:rsidRDefault="00FE45C3">
            <w:r>
              <w:rPr>
                <w:b/>
                <w:bCs/>
                <w:color w:val="C0392B"/>
                <w:sz w:val="18"/>
                <w:szCs w:val="18"/>
              </w:rPr>
              <w:t>Operational Risk — Cyber Risk</w:t>
            </w:r>
          </w:p>
        </w:tc>
        <w:tc>
          <w:tcPr>
            <w:tcW w:w="161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6EEA85" w14:textId="77777777" w:rsidR="004B4BD8" w:rsidRDefault="00FE45C3">
            <w:r>
              <w:rPr>
                <w:color w:val="1C2833"/>
                <w:sz w:val="18"/>
                <w:szCs w:val="18"/>
              </w:rPr>
              <w:t>Cyber risk KRI, loss event</w:t>
            </w:r>
          </w:p>
        </w:tc>
        <w:tc>
          <w:tcPr>
            <w:tcW w:w="4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27D1CD" w14:textId="77777777" w:rsidR="004B4BD8" w:rsidRDefault="00FE45C3">
            <w:proofErr w:type="spellStart"/>
            <w:r>
              <w:rPr>
                <w:color w:val="1C2833"/>
                <w:sz w:val="18"/>
                <w:szCs w:val="18"/>
              </w:rPr>
              <w:t>Cyber attack</w:t>
            </w:r>
            <w:proofErr w:type="spellEnd"/>
            <w:r>
              <w:rPr>
                <w:color w:val="1C2833"/>
                <w:sz w:val="18"/>
                <w:szCs w:val="18"/>
              </w:rPr>
              <w:t xml:space="preserve"> on exchange infrastructure triggers bank's own cyber risk assessment — potential for lateral attack on bank connectivity systems. ISO 27001 incident response invoked.</w:t>
            </w:r>
          </w:p>
        </w:tc>
        <w:tc>
          <w:tcPr>
            <w:tcW w:w="1232" w:type="dxa"/>
            <w:tcBorders>
              <w:top w:val="single" w:sz="1" w:space="0" w:color="7D5A00"/>
              <w:left w:val="single" w:sz="1" w:space="0" w:color="7D5A00"/>
              <w:bottom w:val="single" w:sz="1" w:space="0" w:color="7D5A00"/>
              <w:right w:val="single" w:sz="1" w:space="0" w:color="7D5A00"/>
            </w:tcBorders>
            <w:shd w:val="clear" w:color="auto" w:fill="FDEBD0"/>
            <w:tcMar>
              <w:top w:w="80" w:type="dxa"/>
              <w:left w:w="80" w:type="dxa"/>
              <w:bottom w:w="80" w:type="dxa"/>
              <w:right w:w="80" w:type="dxa"/>
            </w:tcMar>
          </w:tcPr>
          <w:p w14:paraId="3EA86503" w14:textId="77777777" w:rsidR="004B4BD8" w:rsidRDefault="00FE45C3">
            <w:pPr>
              <w:jc w:val="center"/>
            </w:pPr>
            <w:r>
              <w:rPr>
                <w:b/>
                <w:bCs/>
                <w:color w:val="7D5A00"/>
                <w:sz w:val="16"/>
                <w:szCs w:val="16"/>
              </w:rPr>
              <w:t>HIGH</w:t>
            </w:r>
          </w:p>
        </w:tc>
      </w:tr>
      <w:tr w:rsidR="004B4BD8" w14:paraId="54D500D8" w14:textId="77777777" w:rsidTr="00E1482E">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36310" w14:textId="77777777" w:rsidR="004B4BD8" w:rsidRDefault="00FE45C3">
            <w:r>
              <w:rPr>
                <w:b/>
                <w:bCs/>
                <w:color w:val="C0392B"/>
                <w:sz w:val="18"/>
                <w:szCs w:val="18"/>
              </w:rPr>
              <w:t>Treasury Risk — Liquidity</w:t>
            </w:r>
          </w:p>
        </w:tc>
        <w:tc>
          <w:tcPr>
            <w:tcW w:w="16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C40FD" w14:textId="77777777" w:rsidR="004B4BD8" w:rsidRDefault="00FE45C3">
            <w:r>
              <w:rPr>
                <w:color w:val="1C2833"/>
                <w:sz w:val="18"/>
                <w:szCs w:val="18"/>
              </w:rPr>
              <w:t>Margin Call Volumes, Asset Liquidity, Survival Horizon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6247F" w14:textId="77777777" w:rsidR="004B4BD8" w:rsidRDefault="00FE45C3">
            <w:r>
              <w:rPr>
                <w:color w:val="1C2833"/>
                <w:sz w:val="18"/>
                <w:szCs w:val="18"/>
              </w:rPr>
              <w:t xml:space="preserve">Initial margin posted at CME ($xx billion notional, </w:t>
            </w:r>
            <w:proofErr w:type="spellStart"/>
            <w:r>
              <w:rPr>
                <w:color w:val="1C2833"/>
                <w:sz w:val="18"/>
                <w:szCs w:val="18"/>
              </w:rPr>
              <w:t>yy</w:t>
            </w:r>
            <w:proofErr w:type="spellEnd"/>
            <w:r>
              <w:rPr>
                <w:color w:val="1C2833"/>
                <w:sz w:val="18"/>
                <w:szCs w:val="18"/>
              </w:rPr>
              <w:t xml:space="preserve"> B$ initial + variation margin) is trapped and cannot be recalled. Liquidity Coverage Ratio (LCR) impact if survival horizon &lt; regulatory minimum. Cost of funds increases as bank draws on contingency funding.</w:t>
            </w:r>
          </w:p>
        </w:tc>
        <w:tc>
          <w:tcPr>
            <w:tcW w:w="1232" w:type="dxa"/>
            <w:tcBorders>
              <w:top w:val="single" w:sz="1" w:space="0" w:color="7D5A00"/>
              <w:left w:val="single" w:sz="1" w:space="0" w:color="7D5A00"/>
              <w:bottom w:val="single" w:sz="1" w:space="0" w:color="7D5A00"/>
              <w:right w:val="single" w:sz="1" w:space="0" w:color="7D5A00"/>
            </w:tcBorders>
            <w:shd w:val="clear" w:color="auto" w:fill="FDEBD0"/>
            <w:tcMar>
              <w:top w:w="80" w:type="dxa"/>
              <w:left w:w="80" w:type="dxa"/>
              <w:bottom w:w="80" w:type="dxa"/>
              <w:right w:w="80" w:type="dxa"/>
            </w:tcMar>
          </w:tcPr>
          <w:p w14:paraId="3102D5E8" w14:textId="77777777" w:rsidR="004B4BD8" w:rsidRDefault="00FE45C3">
            <w:pPr>
              <w:jc w:val="center"/>
            </w:pPr>
            <w:r>
              <w:rPr>
                <w:b/>
                <w:bCs/>
                <w:color w:val="7D5A00"/>
                <w:sz w:val="16"/>
                <w:szCs w:val="16"/>
              </w:rPr>
              <w:t>HIGH</w:t>
            </w:r>
          </w:p>
        </w:tc>
      </w:tr>
    </w:tbl>
    <w:p w14:paraId="0A8E36F6" w14:textId="77777777" w:rsidR="004B4BD8" w:rsidRDefault="004B4BD8"/>
    <w:p w14:paraId="0CDF42B4" w14:textId="48182FEF" w:rsidR="004B4BD8" w:rsidRDefault="00083802">
      <w:pPr>
        <w:pStyle w:val="Heading2"/>
        <w:spacing w:before="220"/>
      </w:pPr>
      <w:r>
        <w:t>2</w:t>
      </w:r>
      <w:r w:rsidR="00FE45C3">
        <w:t>. SECOND ORDER IMPACT — Downstream and Contagion Effects</w:t>
      </w:r>
    </w:p>
    <w:p w14:paraId="6C0EA3DE" w14:textId="77777777" w:rsidR="004B4BD8" w:rsidRDefault="00FE45C3">
      <w:pPr>
        <w:spacing w:after="100"/>
      </w:pPr>
      <w:r>
        <w:rPr>
          <w:color w:val="1C2833"/>
        </w:rPr>
        <w:lastRenderedPageBreak/>
        <w:t>Second order impacts emerge over days 2–10 as the initial shock propagates across the bank's risk profile and client relationships.</w:t>
      </w:r>
    </w:p>
    <w:p w14:paraId="08B1697F" w14:textId="77777777" w:rsidR="004B4BD8" w:rsidRDefault="004B4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1741"/>
        <w:gridCol w:w="4161"/>
        <w:gridCol w:w="1209"/>
      </w:tblGrid>
      <w:tr w:rsidR="004B4BD8" w14:paraId="0C2F5C7D" w14:textId="77777777" w:rsidTr="0056295C">
        <w:tc>
          <w:tcPr>
            <w:tcW w:w="2351"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928EBB4" w14:textId="77777777" w:rsidR="004B4BD8" w:rsidRDefault="00FE45C3">
            <w:r>
              <w:rPr>
                <w:b/>
                <w:bCs/>
                <w:color w:val="FFFFFF"/>
                <w:sz w:val="19"/>
                <w:szCs w:val="19"/>
              </w:rPr>
              <w:t>Risk Stripe</w:t>
            </w:r>
          </w:p>
        </w:tc>
        <w:tc>
          <w:tcPr>
            <w:tcW w:w="1334"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51E72591" w14:textId="77777777" w:rsidR="004B4BD8" w:rsidRDefault="00FE45C3">
            <w:r>
              <w:rPr>
                <w:b/>
                <w:bCs/>
                <w:color w:val="FFFFFF"/>
                <w:sz w:val="19"/>
                <w:szCs w:val="19"/>
              </w:rPr>
              <w:t>Risk Measurement</w:t>
            </w:r>
          </w:p>
        </w:tc>
        <w:tc>
          <w:tcPr>
            <w:tcW w:w="4443"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2B9908F7" w14:textId="77777777" w:rsidR="004B4BD8" w:rsidRDefault="00FE45C3">
            <w:r>
              <w:rPr>
                <w:b/>
                <w:bCs/>
                <w:color w:val="FFFFFF"/>
                <w:sz w:val="19"/>
                <w:szCs w:val="19"/>
              </w:rPr>
              <w:t>Impact</w:t>
            </w:r>
          </w:p>
        </w:tc>
        <w:tc>
          <w:tcPr>
            <w:tcW w:w="1232"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28F9A4AD" w14:textId="77777777" w:rsidR="004B4BD8" w:rsidRDefault="00FE45C3">
            <w:r>
              <w:rPr>
                <w:b/>
                <w:bCs/>
                <w:color w:val="FFFFFF"/>
                <w:sz w:val="19"/>
                <w:szCs w:val="19"/>
              </w:rPr>
              <w:t>Severity</w:t>
            </w:r>
          </w:p>
        </w:tc>
      </w:tr>
      <w:tr w:rsidR="004B4BD8" w14:paraId="09026FB3" w14:textId="77777777" w:rsidTr="0056295C">
        <w:tc>
          <w:tcPr>
            <w:tcW w:w="23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FBE082" w14:textId="77777777" w:rsidR="004B4BD8" w:rsidRDefault="00FE45C3">
            <w:r>
              <w:rPr>
                <w:b/>
                <w:bCs/>
                <w:color w:val="C0392B"/>
                <w:sz w:val="18"/>
                <w:szCs w:val="18"/>
              </w:rPr>
              <w:t>Credit Risk — CCR</w:t>
            </w:r>
          </w:p>
        </w:tc>
        <w:tc>
          <w:tcPr>
            <w:tcW w:w="133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E09E70" w14:textId="77777777" w:rsidR="004B4BD8" w:rsidRDefault="00FE45C3">
            <w:r>
              <w:rPr>
                <w:color w:val="1C2833"/>
                <w:sz w:val="18"/>
                <w:szCs w:val="18"/>
              </w:rPr>
              <w:t>Exposure/Position, PFE, CVA</w:t>
            </w:r>
          </w:p>
        </w:tc>
        <w:tc>
          <w:tcPr>
            <w:tcW w:w="444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2B05E7" w14:textId="77777777" w:rsidR="004B4BD8" w:rsidRDefault="00FE45C3">
            <w:r>
              <w:rPr>
                <w:color w:val="1C2833"/>
                <w:sz w:val="18"/>
                <w:szCs w:val="18"/>
              </w:rPr>
              <w:t>Counterparty credit risk to CME as CCP: if exchange closure leads to CCP default or data integrity failure, bilateral exposures crystallise. PFE models based on exchange-cleared assumptions need restatement. CVA impact on derivatives book.</w:t>
            </w:r>
          </w:p>
        </w:tc>
        <w:tc>
          <w:tcPr>
            <w:tcW w:w="1232" w:type="dxa"/>
            <w:tcBorders>
              <w:top w:val="single" w:sz="1" w:space="0" w:color="7D5A00"/>
              <w:left w:val="single" w:sz="1" w:space="0" w:color="7D5A00"/>
              <w:bottom w:val="single" w:sz="1" w:space="0" w:color="7D5A00"/>
              <w:right w:val="single" w:sz="1" w:space="0" w:color="7D5A00"/>
            </w:tcBorders>
            <w:shd w:val="clear" w:color="auto" w:fill="FDEBD0"/>
            <w:tcMar>
              <w:top w:w="80" w:type="dxa"/>
              <w:left w:w="80" w:type="dxa"/>
              <w:bottom w:w="80" w:type="dxa"/>
              <w:right w:w="80" w:type="dxa"/>
            </w:tcMar>
          </w:tcPr>
          <w:p w14:paraId="6D8E593D" w14:textId="77777777" w:rsidR="004B4BD8" w:rsidRDefault="00FE45C3">
            <w:pPr>
              <w:jc w:val="center"/>
            </w:pPr>
            <w:r>
              <w:rPr>
                <w:b/>
                <w:bCs/>
                <w:color w:val="7D5A00"/>
                <w:sz w:val="16"/>
                <w:szCs w:val="16"/>
              </w:rPr>
              <w:t>HIGH</w:t>
            </w:r>
          </w:p>
        </w:tc>
      </w:tr>
      <w:tr w:rsidR="004B4BD8" w14:paraId="31B693E9" w14:textId="77777777" w:rsidTr="0056295C">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3E74A" w14:textId="77777777" w:rsidR="004B4BD8" w:rsidRDefault="00FE45C3">
            <w:r>
              <w:rPr>
                <w:b/>
                <w:bCs/>
                <w:color w:val="C0392B"/>
                <w:sz w:val="18"/>
                <w:szCs w:val="18"/>
              </w:rPr>
              <w:t>Credit Risk — Credit Migration</w:t>
            </w:r>
          </w:p>
        </w:tc>
        <w:tc>
          <w:tcPr>
            <w:tcW w:w="13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E3BE" w14:textId="77777777" w:rsidR="004B4BD8" w:rsidRDefault="00FE45C3">
            <w:r>
              <w:rPr>
                <w:color w:val="1C2833"/>
                <w:sz w:val="18"/>
                <w:szCs w:val="18"/>
              </w:rPr>
              <w:t>PD, ECL</w:t>
            </w:r>
          </w:p>
        </w:tc>
        <w:tc>
          <w:tcPr>
            <w:tcW w:w="44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9AC0B" w14:textId="77777777" w:rsidR="004B4BD8" w:rsidRDefault="00FE45C3">
            <w:r>
              <w:rPr>
                <w:color w:val="1C2833"/>
                <w:sz w:val="18"/>
                <w:szCs w:val="18"/>
              </w:rPr>
              <w:t>Clients with leveraged exchange-traded positions face forced deleveraging — credit quality of prime brokerage clients may deteriorate. PD models need to be re-run with stressed assumptions. ECL provisioning review required for affected client segments.</w:t>
            </w:r>
          </w:p>
        </w:tc>
        <w:tc>
          <w:tcPr>
            <w:tcW w:w="1232" w:type="dxa"/>
            <w:tcBorders>
              <w:top w:val="single" w:sz="1" w:space="0" w:color="154360"/>
              <w:left w:val="single" w:sz="1" w:space="0" w:color="154360"/>
              <w:bottom w:val="single" w:sz="1" w:space="0" w:color="154360"/>
              <w:right w:val="single" w:sz="1" w:space="0" w:color="154360"/>
            </w:tcBorders>
            <w:shd w:val="clear" w:color="auto" w:fill="D6EAF8"/>
            <w:tcMar>
              <w:top w:w="80" w:type="dxa"/>
              <w:left w:w="80" w:type="dxa"/>
              <w:bottom w:w="80" w:type="dxa"/>
              <w:right w:w="80" w:type="dxa"/>
            </w:tcMar>
          </w:tcPr>
          <w:p w14:paraId="3BD9E86E" w14:textId="77777777" w:rsidR="004B4BD8" w:rsidRDefault="00FE45C3">
            <w:pPr>
              <w:jc w:val="center"/>
            </w:pPr>
            <w:r>
              <w:rPr>
                <w:b/>
                <w:bCs/>
                <w:color w:val="154360"/>
                <w:sz w:val="16"/>
                <w:szCs w:val="16"/>
              </w:rPr>
              <w:t>MEDIUM</w:t>
            </w:r>
          </w:p>
        </w:tc>
      </w:tr>
      <w:tr w:rsidR="004B4BD8" w14:paraId="78EA1836" w14:textId="77777777" w:rsidTr="0056295C">
        <w:tc>
          <w:tcPr>
            <w:tcW w:w="23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552437" w14:textId="77777777" w:rsidR="004B4BD8" w:rsidRDefault="00FE45C3">
            <w:r>
              <w:rPr>
                <w:b/>
                <w:bCs/>
                <w:color w:val="C0392B"/>
                <w:sz w:val="18"/>
                <w:szCs w:val="18"/>
              </w:rPr>
              <w:t>Traded Risk — Market Risk</w:t>
            </w:r>
          </w:p>
        </w:tc>
        <w:tc>
          <w:tcPr>
            <w:tcW w:w="133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5B3244" w14:textId="77777777" w:rsidR="004B4BD8" w:rsidRDefault="00FE45C3">
            <w:r>
              <w:rPr>
                <w:color w:val="1C2833"/>
                <w:sz w:val="18"/>
                <w:szCs w:val="18"/>
              </w:rPr>
              <w:t>CS01, FX net short</w:t>
            </w:r>
          </w:p>
        </w:tc>
        <w:tc>
          <w:tcPr>
            <w:tcW w:w="444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A41DD6" w14:textId="77777777" w:rsidR="004B4BD8" w:rsidRDefault="00FE45C3">
            <w:r>
              <w:rPr>
                <w:color w:val="1C2833"/>
                <w:sz w:val="18"/>
                <w:szCs w:val="18"/>
              </w:rPr>
              <w:t>Market illiquidity in OTC markets (used as CME fallback) causes credit spread widening. CS01 exposure increases as bank attempts to replicate CME-cleared credit derivatives positions in OTC. FX spot/forward liquidity deteriorates as FX futures market offline.</w:t>
            </w:r>
          </w:p>
        </w:tc>
        <w:tc>
          <w:tcPr>
            <w:tcW w:w="1232" w:type="dxa"/>
            <w:tcBorders>
              <w:top w:val="single" w:sz="1" w:space="0" w:color="7D5A00"/>
              <w:left w:val="single" w:sz="1" w:space="0" w:color="7D5A00"/>
              <w:bottom w:val="single" w:sz="1" w:space="0" w:color="7D5A00"/>
              <w:right w:val="single" w:sz="1" w:space="0" w:color="7D5A00"/>
            </w:tcBorders>
            <w:shd w:val="clear" w:color="auto" w:fill="FDEBD0"/>
            <w:tcMar>
              <w:top w:w="80" w:type="dxa"/>
              <w:left w:w="80" w:type="dxa"/>
              <w:bottom w:w="80" w:type="dxa"/>
              <w:right w:w="80" w:type="dxa"/>
            </w:tcMar>
          </w:tcPr>
          <w:p w14:paraId="1D19915B" w14:textId="77777777" w:rsidR="004B4BD8" w:rsidRDefault="00FE45C3">
            <w:pPr>
              <w:jc w:val="center"/>
            </w:pPr>
            <w:r>
              <w:rPr>
                <w:b/>
                <w:bCs/>
                <w:color w:val="7D5A00"/>
                <w:sz w:val="16"/>
                <w:szCs w:val="16"/>
              </w:rPr>
              <w:t>HIGH</w:t>
            </w:r>
          </w:p>
        </w:tc>
      </w:tr>
      <w:tr w:rsidR="004B4BD8" w14:paraId="6D90996B" w14:textId="77777777" w:rsidTr="0056295C">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FCCBF" w14:textId="77777777" w:rsidR="004B4BD8" w:rsidRDefault="00FE45C3">
            <w:r>
              <w:rPr>
                <w:b/>
                <w:bCs/>
                <w:color w:val="C0392B"/>
                <w:sz w:val="18"/>
                <w:szCs w:val="18"/>
              </w:rPr>
              <w:t>Treasury Risk — Liquidity</w:t>
            </w:r>
          </w:p>
        </w:tc>
        <w:tc>
          <w:tcPr>
            <w:tcW w:w="13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EA26A" w14:textId="77777777" w:rsidR="004B4BD8" w:rsidRDefault="00FE45C3">
            <w:r>
              <w:rPr>
                <w:color w:val="1C2833"/>
                <w:sz w:val="18"/>
                <w:szCs w:val="18"/>
              </w:rPr>
              <w:t>Survival Horizon, Cost of Funds</w:t>
            </w:r>
          </w:p>
        </w:tc>
        <w:tc>
          <w:tcPr>
            <w:tcW w:w="44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98CFB" w14:textId="77777777" w:rsidR="004B4BD8" w:rsidRDefault="00FE45C3">
            <w:r>
              <w:rPr>
                <w:color w:val="1C2833"/>
                <w:sz w:val="18"/>
                <w:szCs w:val="18"/>
              </w:rPr>
              <w:t>Longer-term market illiquidity impact: if closure extends beyond 5 days, funding markets price in systemic risk premium. Bank's own bond spreads may widen. NSFR and LCR deterioration if contingency funding lines are drawn.</w:t>
            </w:r>
          </w:p>
        </w:tc>
        <w:tc>
          <w:tcPr>
            <w:tcW w:w="1232" w:type="dxa"/>
            <w:tcBorders>
              <w:top w:val="single" w:sz="1" w:space="0" w:color="154360"/>
              <w:left w:val="single" w:sz="1" w:space="0" w:color="154360"/>
              <w:bottom w:val="single" w:sz="1" w:space="0" w:color="154360"/>
              <w:right w:val="single" w:sz="1" w:space="0" w:color="154360"/>
            </w:tcBorders>
            <w:shd w:val="clear" w:color="auto" w:fill="D6EAF8"/>
            <w:tcMar>
              <w:top w:w="80" w:type="dxa"/>
              <w:left w:w="80" w:type="dxa"/>
              <w:bottom w:w="80" w:type="dxa"/>
              <w:right w:w="80" w:type="dxa"/>
            </w:tcMar>
          </w:tcPr>
          <w:p w14:paraId="0E62562C" w14:textId="77777777" w:rsidR="004B4BD8" w:rsidRDefault="00FE45C3">
            <w:pPr>
              <w:jc w:val="center"/>
            </w:pPr>
            <w:r>
              <w:rPr>
                <w:b/>
                <w:bCs/>
                <w:color w:val="154360"/>
                <w:sz w:val="16"/>
                <w:szCs w:val="16"/>
              </w:rPr>
              <w:t>MEDIUM</w:t>
            </w:r>
          </w:p>
        </w:tc>
      </w:tr>
      <w:tr w:rsidR="004B4BD8" w14:paraId="15B3DA99" w14:textId="77777777" w:rsidTr="0056295C">
        <w:tc>
          <w:tcPr>
            <w:tcW w:w="23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F5A89FE" w14:textId="77777777" w:rsidR="004B4BD8" w:rsidRDefault="00FE45C3">
            <w:r>
              <w:rPr>
                <w:b/>
                <w:bCs/>
                <w:color w:val="C0392B"/>
                <w:sz w:val="18"/>
                <w:szCs w:val="18"/>
              </w:rPr>
              <w:t>Operational Risk — Resilience</w:t>
            </w:r>
          </w:p>
        </w:tc>
        <w:tc>
          <w:tcPr>
            <w:tcW w:w="133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6CB34F" w14:textId="77777777" w:rsidR="004B4BD8" w:rsidRDefault="00FE45C3">
            <w:r>
              <w:rPr>
                <w:color w:val="1C2833"/>
                <w:sz w:val="18"/>
                <w:szCs w:val="18"/>
              </w:rPr>
              <w:t>Business disruption days, third-party dependency</w:t>
            </w:r>
          </w:p>
        </w:tc>
        <w:tc>
          <w:tcPr>
            <w:tcW w:w="444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27B5F6" w14:textId="77777777" w:rsidR="004B4BD8" w:rsidRDefault="00FE45C3">
            <w:r>
              <w:rPr>
                <w:color w:val="1C2833"/>
                <w:sz w:val="18"/>
                <w:szCs w:val="18"/>
              </w:rPr>
              <w:t>Equities and derivatives desks operationally disrupted — client servicing capability degraded. Collateral management process fails due to CCP price feed unavailability. Third-party vendor dependencies (clearing brokers, prime brokers) activated.</w:t>
            </w:r>
          </w:p>
        </w:tc>
        <w:tc>
          <w:tcPr>
            <w:tcW w:w="1232" w:type="dxa"/>
            <w:tcBorders>
              <w:top w:val="single" w:sz="1" w:space="0" w:color="154360"/>
              <w:left w:val="single" w:sz="1" w:space="0" w:color="154360"/>
              <w:bottom w:val="single" w:sz="1" w:space="0" w:color="154360"/>
              <w:right w:val="single" w:sz="1" w:space="0" w:color="154360"/>
            </w:tcBorders>
            <w:shd w:val="clear" w:color="auto" w:fill="D6EAF8"/>
            <w:tcMar>
              <w:top w:w="80" w:type="dxa"/>
              <w:left w:w="80" w:type="dxa"/>
              <w:bottom w:w="80" w:type="dxa"/>
              <w:right w:w="80" w:type="dxa"/>
            </w:tcMar>
          </w:tcPr>
          <w:p w14:paraId="267C9D86" w14:textId="77777777" w:rsidR="004B4BD8" w:rsidRDefault="00FE45C3">
            <w:pPr>
              <w:jc w:val="center"/>
            </w:pPr>
            <w:r>
              <w:rPr>
                <w:b/>
                <w:bCs/>
                <w:color w:val="154360"/>
                <w:sz w:val="16"/>
                <w:szCs w:val="16"/>
              </w:rPr>
              <w:t>MEDIUM</w:t>
            </w:r>
          </w:p>
        </w:tc>
      </w:tr>
    </w:tbl>
    <w:p w14:paraId="2FD5ECE9" w14:textId="77777777" w:rsidR="004B4BD8" w:rsidRDefault="004B4BD8"/>
    <w:p w14:paraId="6D7328D8" w14:textId="3A5004FC" w:rsidR="004B4BD8" w:rsidRDefault="00083802" w:rsidP="00594574">
      <w:pPr>
        <w:pStyle w:val="Heading2"/>
        <w:spacing w:before="220"/>
      </w:pPr>
      <w:r>
        <w:t>3</w:t>
      </w:r>
      <w:r w:rsidR="00FE45C3">
        <w:t xml:space="preserve">. </w:t>
      </w:r>
      <w:r w:rsidR="00590CAB">
        <w:t>Scope</w:t>
      </w:r>
      <w:r w:rsidR="00FE45C3">
        <w:t xml:space="preserve"> and Quantification</w:t>
      </w:r>
    </w:p>
    <w:p w14:paraId="75F2E53F" w14:textId="58B5EF5D" w:rsidR="004B4BD8" w:rsidRDefault="00083802">
      <w:pPr>
        <w:spacing w:before="180" w:after="60"/>
      </w:pPr>
      <w:r>
        <w:rPr>
          <w:b/>
          <w:bCs/>
          <w:color w:val="1C2833"/>
          <w:sz w:val="21"/>
          <w:szCs w:val="21"/>
        </w:rPr>
        <w:t>3</w:t>
      </w:r>
      <w:r w:rsidR="00FE45C3">
        <w:rPr>
          <w:b/>
          <w:bCs/>
          <w:color w:val="1C2833"/>
          <w:sz w:val="21"/>
          <w:szCs w:val="21"/>
        </w:rPr>
        <w:t>.1 Direct Credit and Market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593F08FB" w14:textId="77777777">
        <w:tc>
          <w:tcPr>
            <w:tcW w:w="9360" w:type="dxa"/>
            <w:tcBorders>
              <w:top w:val="single" w:sz="1" w:space="0" w:color="7D5A00"/>
              <w:left w:val="single" w:sz="18" w:space="0" w:color="7D5A00"/>
              <w:bottom w:val="single" w:sz="1" w:space="0" w:color="7D5A00"/>
              <w:right w:val="single" w:sz="1" w:space="0" w:color="7D5A00"/>
            </w:tcBorders>
            <w:shd w:val="clear" w:color="auto" w:fill="FFFBEB"/>
            <w:tcMar>
              <w:top w:w="100" w:type="dxa"/>
              <w:left w:w="160" w:type="dxa"/>
              <w:bottom w:w="100" w:type="dxa"/>
              <w:right w:w="160" w:type="dxa"/>
            </w:tcMar>
          </w:tcPr>
          <w:p w14:paraId="0251889E" w14:textId="77777777" w:rsidR="004B4BD8" w:rsidRDefault="00FE45C3">
            <w:r>
              <w:rPr>
                <w:b/>
                <w:bCs/>
                <w:color w:val="7D5A00"/>
              </w:rPr>
              <w:t>Quantification Framework</w:t>
            </w:r>
          </w:p>
          <w:p w14:paraId="0CF2CA14" w14:textId="77777777" w:rsidR="004B4BD8" w:rsidRDefault="00FE45C3">
            <w:pPr>
              <w:spacing w:before="40"/>
            </w:pPr>
            <w:r>
              <w:rPr>
                <w:color w:val="1C2833"/>
                <w:sz w:val="19"/>
                <w:szCs w:val="19"/>
              </w:rPr>
              <w:t xml:space="preserve">Direct exposure: xx B$ notional across y exchange-traded products (equities, rates, FX, commodities). Trapped liquidity: </w:t>
            </w:r>
            <w:proofErr w:type="spellStart"/>
            <w:r>
              <w:rPr>
                <w:color w:val="1C2833"/>
                <w:sz w:val="19"/>
                <w:szCs w:val="19"/>
              </w:rPr>
              <w:t>yy</w:t>
            </w:r>
            <w:proofErr w:type="spellEnd"/>
            <w:r>
              <w:rPr>
                <w:color w:val="1C2833"/>
                <w:sz w:val="19"/>
                <w:szCs w:val="19"/>
              </w:rPr>
              <w:t xml:space="preserve"> B$ initial margin + variation margin frozen at CCP. Unhedged sensitivities accumulate at rate of ~$z million </w:t>
            </w:r>
            <w:proofErr w:type="spellStart"/>
            <w:r>
              <w:rPr>
                <w:color w:val="1C2833"/>
                <w:sz w:val="19"/>
                <w:szCs w:val="19"/>
              </w:rPr>
              <w:t>PnL</w:t>
            </w:r>
            <w:proofErr w:type="spellEnd"/>
            <w:r>
              <w:rPr>
                <w:color w:val="1C2833"/>
                <w:sz w:val="19"/>
                <w:szCs w:val="19"/>
              </w:rPr>
              <w:t xml:space="preserve"> impact per 1% move in underlying markets per day of closure.</w:t>
            </w:r>
          </w:p>
        </w:tc>
      </w:tr>
    </w:tbl>
    <w:p w14:paraId="624859FE" w14:textId="77777777" w:rsidR="004B4BD8" w:rsidRDefault="004B4BD8"/>
    <w:p w14:paraId="0CB14782" w14:textId="77777777" w:rsidR="004B4BD8" w:rsidRDefault="00FE45C3">
      <w:pPr>
        <w:pStyle w:val="ListParagraph"/>
        <w:numPr>
          <w:ilvl w:val="0"/>
          <w:numId w:val="2"/>
        </w:numPr>
        <w:spacing w:after="80"/>
      </w:pPr>
      <w:r>
        <w:rPr>
          <w:color w:val="1C2833"/>
        </w:rPr>
        <w:t xml:space="preserve">Trading </w:t>
      </w:r>
      <w:proofErr w:type="spellStart"/>
      <w:r>
        <w:rPr>
          <w:color w:val="1C2833"/>
        </w:rPr>
        <w:t>VaR</w:t>
      </w:r>
      <w:proofErr w:type="spellEnd"/>
      <w:r>
        <w:rPr>
          <w:color w:val="1C2833"/>
        </w:rPr>
        <w:t xml:space="preserve"> breach: 1-day 99% </w:t>
      </w:r>
      <w:proofErr w:type="spellStart"/>
      <w:r>
        <w:rPr>
          <w:color w:val="1C2833"/>
        </w:rPr>
        <w:t>VaR</w:t>
      </w:r>
      <w:proofErr w:type="spellEnd"/>
      <w:r>
        <w:rPr>
          <w:color w:val="1C2833"/>
        </w:rPr>
        <w:t xml:space="preserve"> limit likely breached by Day 2 of closure as unhedged delta accumulates — immediate escalation to CRO and Board Risk Committee required</w:t>
      </w:r>
    </w:p>
    <w:p w14:paraId="0810FEBA" w14:textId="77777777" w:rsidR="004B4BD8" w:rsidRDefault="00FE45C3">
      <w:pPr>
        <w:pStyle w:val="ListParagraph"/>
        <w:numPr>
          <w:ilvl w:val="0"/>
          <w:numId w:val="2"/>
        </w:numPr>
        <w:spacing w:after="80"/>
      </w:pPr>
      <w:r>
        <w:rPr>
          <w:color w:val="1C2833"/>
        </w:rPr>
        <w:t xml:space="preserve">PVBP spike: interest rate delta </w:t>
      </w:r>
      <w:proofErr w:type="spellStart"/>
      <w:r>
        <w:rPr>
          <w:color w:val="1C2833"/>
        </w:rPr>
        <w:t>unhedgeable</w:t>
      </w:r>
      <w:proofErr w:type="spellEnd"/>
      <w:r>
        <w:rPr>
          <w:color w:val="1C2833"/>
        </w:rPr>
        <w:t xml:space="preserve"> via CME — bank's PVBP exposure increases by estimated factor of 3–5x on rates desk during closure</w:t>
      </w:r>
    </w:p>
    <w:p w14:paraId="0F08D767" w14:textId="77777777" w:rsidR="004B4BD8" w:rsidRDefault="00FE45C3">
      <w:pPr>
        <w:pStyle w:val="ListParagraph"/>
        <w:numPr>
          <w:ilvl w:val="0"/>
          <w:numId w:val="2"/>
        </w:numPr>
        <w:spacing w:after="80"/>
      </w:pPr>
      <w:r>
        <w:rPr>
          <w:color w:val="1C2833"/>
        </w:rPr>
        <w:t xml:space="preserve">CS01 </w:t>
      </w:r>
      <w:proofErr w:type="gramStart"/>
      <w:r>
        <w:rPr>
          <w:color w:val="1C2833"/>
        </w:rPr>
        <w:t>widening:</w:t>
      </w:r>
      <w:proofErr w:type="gramEnd"/>
      <w:r>
        <w:rPr>
          <w:color w:val="1C2833"/>
        </w:rPr>
        <w:t xml:space="preserve"> credit spread sensitivity increases as credit index products (CDX, </w:t>
      </w:r>
      <w:proofErr w:type="spellStart"/>
      <w:r>
        <w:rPr>
          <w:color w:val="1C2833"/>
        </w:rPr>
        <w:t>iTraxx</w:t>
      </w:r>
      <w:proofErr w:type="spellEnd"/>
      <w:r>
        <w:rPr>
          <w:color w:val="1C2833"/>
        </w:rPr>
        <w:t>) cannot be hedged via cleared instruments — OTC spreads 40–80bps wider than pre-event</w:t>
      </w:r>
    </w:p>
    <w:p w14:paraId="613C35E0" w14:textId="77777777" w:rsidR="004B4BD8" w:rsidRDefault="00FE45C3">
      <w:pPr>
        <w:pStyle w:val="ListParagraph"/>
        <w:numPr>
          <w:ilvl w:val="0"/>
          <w:numId w:val="2"/>
        </w:numPr>
        <w:spacing w:after="80"/>
      </w:pPr>
      <w:r>
        <w:rPr>
          <w:color w:val="1C2833"/>
        </w:rPr>
        <w:t>FX net short: FX futures positions unmanageable — net short USD position exposure amplifies if USD appreciates during event (flight-to-safety flows)</w:t>
      </w:r>
    </w:p>
    <w:p w14:paraId="5DEBB9B3" w14:textId="77777777" w:rsidR="004B4BD8" w:rsidRDefault="00FE45C3">
      <w:pPr>
        <w:pStyle w:val="ListParagraph"/>
        <w:numPr>
          <w:ilvl w:val="0"/>
          <w:numId w:val="2"/>
        </w:numPr>
        <w:spacing w:after="80"/>
      </w:pPr>
      <w:r>
        <w:rPr>
          <w:color w:val="1C2833"/>
        </w:rPr>
        <w:t>Margin Call Volumes: variation margin calls frozen — bank may face calls from bilateral OTC counterparties while unable to recover margin from CME</w:t>
      </w:r>
    </w:p>
    <w:p w14:paraId="373FF460" w14:textId="77777777" w:rsidR="004B4BD8" w:rsidRDefault="00FE45C3">
      <w:pPr>
        <w:pStyle w:val="ListParagraph"/>
        <w:numPr>
          <w:ilvl w:val="0"/>
          <w:numId w:val="2"/>
        </w:numPr>
        <w:spacing w:after="80"/>
      </w:pPr>
      <w:r>
        <w:rPr>
          <w:color w:val="1C2833"/>
        </w:rPr>
        <w:lastRenderedPageBreak/>
        <w:t>Asset Liquidity: high-quality liquid assets may need to be liquidated to fund margin obligations elsewhere — HQLA buffer review triggered</w:t>
      </w:r>
    </w:p>
    <w:p w14:paraId="2B8ED361" w14:textId="77777777" w:rsidR="004B4BD8" w:rsidRDefault="004B4BD8"/>
    <w:p w14:paraId="214FF52D" w14:textId="369FBC32" w:rsidR="004B4BD8" w:rsidRDefault="00083802">
      <w:pPr>
        <w:spacing w:before="180" w:after="60"/>
      </w:pPr>
      <w:r>
        <w:rPr>
          <w:b/>
          <w:bCs/>
          <w:color w:val="1C2833"/>
          <w:sz w:val="21"/>
          <w:szCs w:val="21"/>
        </w:rPr>
        <w:t>3</w:t>
      </w:r>
      <w:r w:rsidR="00FE45C3">
        <w:rPr>
          <w:b/>
          <w:bCs/>
          <w:color w:val="1C2833"/>
          <w:sz w:val="21"/>
          <w:szCs w:val="21"/>
        </w:rPr>
        <w:t xml:space="preserve">.2 Scope — </w:t>
      </w:r>
      <w:r w:rsidR="002C2937">
        <w:rPr>
          <w:b/>
          <w:bCs/>
          <w:color w:val="1C2833"/>
          <w:sz w:val="21"/>
          <w:szCs w:val="21"/>
        </w:rPr>
        <w:t xml:space="preserve">Where does the risk sit </w:t>
      </w:r>
      <w:r w:rsidR="00594574">
        <w:rPr>
          <w:b/>
          <w:bCs/>
          <w:color w:val="1C2833"/>
          <w:sz w:val="21"/>
          <w:szCs w:val="21"/>
        </w:rPr>
        <w:t>within the 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1536"/>
        <w:gridCol w:w="2040"/>
        <w:gridCol w:w="2211"/>
        <w:gridCol w:w="1937"/>
      </w:tblGrid>
      <w:tr w:rsidR="004B4BD8" w14:paraId="7D9AD92D" w14:textId="77777777">
        <w:tc>
          <w:tcPr>
            <w:tcW w:w="0" w:type="auto"/>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37D7706" w14:textId="77777777" w:rsidR="004B4BD8" w:rsidRDefault="00FE45C3">
            <w:r>
              <w:rPr>
                <w:b/>
                <w:bCs/>
                <w:color w:val="FFFFFF"/>
                <w:sz w:val="18"/>
                <w:szCs w:val="18"/>
              </w:rPr>
              <w:t>Group</w:t>
            </w:r>
          </w:p>
        </w:tc>
        <w:tc>
          <w:tcPr>
            <w:tcW w:w="0" w:type="auto"/>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4F4BD315" w14:textId="77777777" w:rsidR="004B4BD8" w:rsidRDefault="00FE45C3">
            <w:r>
              <w:rPr>
                <w:b/>
                <w:bCs/>
                <w:color w:val="FFFFFF"/>
                <w:sz w:val="18"/>
                <w:szCs w:val="18"/>
              </w:rPr>
              <w:t>Les–ME Entities</w:t>
            </w:r>
          </w:p>
        </w:tc>
        <w:tc>
          <w:tcPr>
            <w:tcW w:w="0" w:type="auto"/>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2AEDA56C" w14:textId="77777777" w:rsidR="004B4BD8" w:rsidRDefault="00FE45C3">
            <w:r>
              <w:rPr>
                <w:b/>
                <w:bCs/>
                <w:color w:val="FFFFFF"/>
                <w:sz w:val="18"/>
                <w:szCs w:val="18"/>
              </w:rPr>
              <w:t>Business Lines</w:t>
            </w:r>
          </w:p>
        </w:tc>
        <w:tc>
          <w:tcPr>
            <w:tcW w:w="0" w:type="auto"/>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79EFDD13" w14:textId="77777777" w:rsidR="004B4BD8" w:rsidRDefault="00FE45C3">
            <w:r>
              <w:rPr>
                <w:b/>
                <w:bCs/>
                <w:color w:val="FFFFFF"/>
                <w:sz w:val="18"/>
                <w:szCs w:val="18"/>
              </w:rPr>
              <w:t>Instruments</w:t>
            </w:r>
          </w:p>
        </w:tc>
        <w:tc>
          <w:tcPr>
            <w:tcW w:w="0" w:type="auto"/>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02010EA1" w14:textId="77777777" w:rsidR="004B4BD8" w:rsidRDefault="00FE45C3">
            <w:r>
              <w:rPr>
                <w:b/>
                <w:bCs/>
                <w:color w:val="FFFFFF"/>
                <w:sz w:val="18"/>
                <w:szCs w:val="18"/>
              </w:rPr>
              <w:t>Desks</w:t>
            </w:r>
          </w:p>
        </w:tc>
      </w:tr>
      <w:tr w:rsidR="004B4BD8" w14:paraId="76BA8C6A"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8A9760" w14:textId="77777777" w:rsidR="004B4BD8" w:rsidRDefault="00FE45C3">
            <w:r>
              <w:rPr>
                <w:color w:val="1C2833"/>
                <w:sz w:val="17"/>
                <w:szCs w:val="17"/>
              </w:rPr>
              <w:t>Group-wide (all entities with CME clearing membership or prime brokerage)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0A61" w14:textId="77777777" w:rsidR="004B4BD8" w:rsidRDefault="00FE45C3">
            <w:r>
              <w:rPr>
                <w:color w:val="1C2833"/>
                <w:sz w:val="17"/>
                <w:szCs w:val="17"/>
              </w:rPr>
              <w:t>Atlas UK Ltd (primary); Atlas US LLC; Atlas Singapore Pte (direct CME members)</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40F02C" w14:textId="77777777" w:rsidR="004B4BD8" w:rsidRDefault="00FE45C3">
            <w:r>
              <w:rPr>
                <w:color w:val="1C2833"/>
                <w:sz w:val="17"/>
                <w:szCs w:val="17"/>
              </w:rPr>
              <w:t>Global Markets — Equities, Rates, FX, Commodities; Securities Services — Collateral Management; Prime Brokerage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AA605" w14:textId="77777777" w:rsidR="004B4BD8" w:rsidRDefault="00FE45C3">
            <w:r>
              <w:rPr>
                <w:color w:val="1C2833"/>
                <w:sz w:val="17"/>
                <w:szCs w:val="17"/>
              </w:rPr>
              <w:t>Exchange-traded futures and options (equities, FX, rates, commodities); CME-cleared OTC swaps; SOFR/Treasury futures</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CFE615" w14:textId="77777777" w:rsidR="004B4BD8" w:rsidRDefault="00FE45C3">
            <w:r>
              <w:rPr>
                <w:color w:val="1C2833"/>
                <w:sz w:val="17"/>
                <w:szCs w:val="17"/>
              </w:rPr>
              <w:t>Equity Derivatives Desk; Rates Desk; FX Desk; Commodities Desk; Prime Brokerage; Collateral Management</w:t>
            </w:r>
          </w:p>
        </w:tc>
      </w:tr>
    </w:tbl>
    <w:p w14:paraId="08497FB4" w14:textId="77777777" w:rsidR="00194E84" w:rsidRDefault="00194E84">
      <w:pPr>
        <w:pStyle w:val="Heading2"/>
        <w:spacing w:before="220"/>
      </w:pPr>
    </w:p>
    <w:p w14:paraId="62F8D969" w14:textId="09A6A3D6" w:rsidR="00194E84" w:rsidRDefault="00083802">
      <w:pPr>
        <w:pStyle w:val="Heading2"/>
        <w:spacing w:before="220"/>
      </w:pPr>
      <w:r>
        <w:t>4</w:t>
      </w:r>
      <w:r w:rsidR="00614EAF">
        <w:t xml:space="preserve">. </w:t>
      </w:r>
      <w:r w:rsidR="00614EAF">
        <w:t>Risk Stripe Severity Heatmap: Day-by-Day Escalation Matrix</w:t>
      </w:r>
    </w:p>
    <w:p w14:paraId="7D8CFDB6" w14:textId="05A98DAD" w:rsidR="000C35CA" w:rsidRDefault="005E2686">
      <w:pPr>
        <w:pStyle w:val="Heading2"/>
        <w:spacing w:before="220"/>
        <w:rPr>
          <w:b w:val="0"/>
          <w:bCs w:val="0"/>
          <w:sz w:val="20"/>
          <w:szCs w:val="20"/>
        </w:rPr>
      </w:pPr>
      <w:r w:rsidRPr="000C35CA">
        <w:rPr>
          <w:b w:val="0"/>
          <w:bCs w:val="0"/>
          <w:sz w:val="20"/>
          <w:szCs w:val="20"/>
        </w:rPr>
        <w:t>(Check excel data)</w:t>
      </w:r>
    </w:p>
    <w:p w14:paraId="05901D09" w14:textId="77777777" w:rsidR="000C35CA" w:rsidRPr="000C35CA" w:rsidRDefault="000C35CA">
      <w:pPr>
        <w:pStyle w:val="Heading2"/>
        <w:spacing w:before="220"/>
        <w:rPr>
          <w:b w:val="0"/>
          <w:bCs w:val="0"/>
          <w:sz w:val="20"/>
          <w:szCs w:val="20"/>
        </w:rPr>
      </w:pPr>
    </w:p>
    <w:p w14:paraId="29D28D76" w14:textId="5559924F" w:rsidR="004B4BD8" w:rsidRDefault="00083802">
      <w:pPr>
        <w:pStyle w:val="Heading2"/>
        <w:spacing w:before="220"/>
      </w:pPr>
      <w:r>
        <w:t>5</w:t>
      </w:r>
      <w:r w:rsidR="00FE45C3">
        <w:t xml:space="preserve">. </w:t>
      </w:r>
      <w:r w:rsidR="00FA2FB6">
        <w:t>Financial Impact Summary</w:t>
      </w:r>
    </w:p>
    <w:p w14:paraId="0D89B19A" w14:textId="77777777" w:rsidR="004B4BD8" w:rsidRDefault="004B4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1729"/>
        <w:gridCol w:w="5968"/>
      </w:tblGrid>
      <w:tr w:rsidR="004B4BD8" w14:paraId="12CC25E1" w14:textId="77777777">
        <w:tc>
          <w:tcPr>
            <w:tcW w:w="0" w:type="auto"/>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766F0A3A" w14:textId="77777777" w:rsidR="004B4BD8" w:rsidRDefault="00FE45C3">
            <w:r>
              <w:rPr>
                <w:b/>
                <w:bCs/>
                <w:color w:val="FFFFFF"/>
                <w:sz w:val="18"/>
                <w:szCs w:val="18"/>
              </w:rPr>
              <w:t>Impact Category</w:t>
            </w:r>
          </w:p>
        </w:tc>
        <w:tc>
          <w:tcPr>
            <w:tcW w:w="0" w:type="auto"/>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CE8567F" w14:textId="77777777" w:rsidR="004B4BD8" w:rsidRDefault="00FE45C3">
            <w:r>
              <w:rPr>
                <w:b/>
                <w:bCs/>
                <w:color w:val="FFFFFF"/>
                <w:sz w:val="18"/>
                <w:szCs w:val="18"/>
              </w:rPr>
              <w:t>Metric</w:t>
            </w:r>
          </w:p>
        </w:tc>
        <w:tc>
          <w:tcPr>
            <w:tcW w:w="0" w:type="auto"/>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84B10B1" w14:textId="77777777" w:rsidR="004B4BD8" w:rsidRDefault="00FE45C3">
            <w:r>
              <w:rPr>
                <w:b/>
                <w:bCs/>
                <w:color w:val="FFFFFF"/>
                <w:sz w:val="18"/>
                <w:szCs w:val="18"/>
              </w:rPr>
              <w:t>Indicative Scale (5-day closure)</w:t>
            </w:r>
          </w:p>
        </w:tc>
      </w:tr>
      <w:tr w:rsidR="004B4BD8" w14:paraId="0AD2D69D"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D5D878" w14:textId="77777777" w:rsidR="004B4BD8" w:rsidRDefault="00FE45C3">
            <w:r>
              <w:rPr>
                <w:b/>
                <w:bCs/>
                <w:color w:val="1C2833"/>
                <w:sz w:val="17"/>
                <w:szCs w:val="17"/>
              </w:rPr>
              <w:t>RWA — Traded Risk</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DE421E" w14:textId="77777777" w:rsidR="004B4BD8" w:rsidRDefault="00FE45C3">
            <w:r>
              <w:rPr>
                <w:color w:val="1C2833"/>
                <w:sz w:val="17"/>
                <w:szCs w:val="17"/>
              </w:rPr>
              <w:t>Operational risk RWA</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9B6086" w14:textId="77777777" w:rsidR="004B4BD8" w:rsidRDefault="00FE45C3">
            <w:r>
              <w:rPr>
                <w:color w:val="1C2833"/>
                <w:sz w:val="17"/>
                <w:szCs w:val="17"/>
              </w:rPr>
              <w:t>Increase of ~12–18% on traded risk RWA as unhedged positions inflate market risk capital requirement</w:t>
            </w:r>
          </w:p>
        </w:tc>
      </w:tr>
      <w:tr w:rsidR="004B4BD8" w14:paraId="1E8148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0805" w14:textId="77777777" w:rsidR="004B4BD8" w:rsidRDefault="00FE45C3">
            <w:r>
              <w:rPr>
                <w:b/>
                <w:bCs/>
                <w:color w:val="1C2833"/>
                <w:sz w:val="17"/>
                <w:szCs w:val="17"/>
              </w:rPr>
              <w:t>Capital — Market Risk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907E" w14:textId="77777777" w:rsidR="004B4BD8" w:rsidRDefault="00FE45C3">
            <w:r>
              <w:rPr>
                <w:color w:val="1C2833"/>
                <w:sz w:val="17"/>
                <w:szCs w:val="17"/>
              </w:rPr>
              <w:t>CET1 impact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0219" w14:textId="77777777" w:rsidR="004B4BD8" w:rsidRDefault="00FE45C3">
            <w:r>
              <w:rPr>
                <w:color w:val="1C2833"/>
                <w:sz w:val="17"/>
                <w:szCs w:val="17"/>
              </w:rPr>
              <w:t>Estimated £28–55M additional CET1 drawdown depending on market moves during closure period</w:t>
            </w:r>
          </w:p>
        </w:tc>
      </w:tr>
      <w:tr w:rsidR="004B4BD8" w14:paraId="494CD03C"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B90C07" w14:textId="77777777" w:rsidR="004B4BD8" w:rsidRDefault="00FE45C3">
            <w:proofErr w:type="spellStart"/>
            <w:r>
              <w:rPr>
                <w:b/>
                <w:bCs/>
                <w:color w:val="1C2833"/>
                <w:sz w:val="17"/>
                <w:szCs w:val="17"/>
              </w:rPr>
              <w:t>PnL</w:t>
            </w:r>
            <w:proofErr w:type="spellEnd"/>
            <w:r>
              <w:rPr>
                <w:b/>
                <w:bCs/>
                <w:color w:val="1C2833"/>
                <w:sz w:val="17"/>
                <w:szCs w:val="17"/>
              </w:rPr>
              <w:t xml:space="preserve"> — Trading Desks</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0F53EB" w14:textId="77777777" w:rsidR="004B4BD8" w:rsidRDefault="00FE45C3">
            <w:r>
              <w:rPr>
                <w:color w:val="1C2833"/>
                <w:sz w:val="17"/>
                <w:szCs w:val="17"/>
              </w:rPr>
              <w:t>Daily P&amp;L impact</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131D04" w14:textId="77777777" w:rsidR="004B4BD8" w:rsidRDefault="00FE45C3">
            <w:r>
              <w:rPr>
                <w:color w:val="1C2833"/>
                <w:sz w:val="17"/>
                <w:szCs w:val="17"/>
              </w:rPr>
              <w:t xml:space="preserve">£5–20M/day P&amp;L sensitivity per 1% move in key </w:t>
            </w:r>
            <w:proofErr w:type="spellStart"/>
            <w:r>
              <w:rPr>
                <w:color w:val="1C2833"/>
                <w:sz w:val="17"/>
                <w:szCs w:val="17"/>
              </w:rPr>
              <w:t>underlyings</w:t>
            </w:r>
            <w:proofErr w:type="spellEnd"/>
            <w:r>
              <w:rPr>
                <w:color w:val="1C2833"/>
                <w:sz w:val="17"/>
                <w:szCs w:val="17"/>
              </w:rPr>
              <w:t xml:space="preserve"> (equity index, FX, rates) while unhedged</w:t>
            </w:r>
          </w:p>
        </w:tc>
      </w:tr>
      <w:tr w:rsidR="004B4BD8" w14:paraId="6F21C7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D66F7" w14:textId="77777777" w:rsidR="004B4BD8" w:rsidRDefault="00FE45C3">
            <w:r>
              <w:rPr>
                <w:b/>
                <w:bCs/>
                <w:color w:val="1C2833"/>
                <w:sz w:val="17"/>
                <w:szCs w:val="17"/>
              </w:rPr>
              <w:t>RWA — Credit Risk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3CB0D" w14:textId="77777777" w:rsidR="004B4BD8" w:rsidRDefault="00FE45C3">
            <w:r>
              <w:rPr>
                <w:color w:val="1C2833"/>
                <w:sz w:val="17"/>
                <w:szCs w:val="17"/>
              </w:rPr>
              <w:t>CCR RWA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189D7" w14:textId="77777777" w:rsidR="004B4BD8" w:rsidRDefault="00FE45C3">
            <w:r>
              <w:rPr>
                <w:color w:val="1C2833"/>
                <w:sz w:val="17"/>
                <w:szCs w:val="17"/>
              </w:rPr>
              <w:t>Increase in CCR RWA as PFE recalculated on bilateral OTC replacement positions — estimated 8–14% uplift</w:t>
            </w:r>
          </w:p>
        </w:tc>
      </w:tr>
      <w:tr w:rsidR="004B4BD8" w14:paraId="2E979A1F"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00ED73" w14:textId="77777777" w:rsidR="004B4BD8" w:rsidRDefault="00FE45C3">
            <w:r>
              <w:rPr>
                <w:b/>
                <w:bCs/>
                <w:color w:val="1C2833"/>
                <w:sz w:val="17"/>
                <w:szCs w:val="17"/>
              </w:rPr>
              <w:t>Capital — CCR</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4A240E7" w14:textId="77777777" w:rsidR="004B4BD8" w:rsidRDefault="00FE45C3">
            <w:r>
              <w:rPr>
                <w:color w:val="1C2833"/>
                <w:sz w:val="17"/>
                <w:szCs w:val="17"/>
              </w:rPr>
              <w:t>Capital charge increase</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FA09597" w14:textId="77777777" w:rsidR="004B4BD8" w:rsidRDefault="00FE45C3">
            <w:r>
              <w:rPr>
                <w:color w:val="1C2833"/>
                <w:sz w:val="17"/>
                <w:szCs w:val="17"/>
              </w:rPr>
              <w:t>£12–22M additional CCR capital charge if CME-cleared exposures reclassified as bilateral under stress</w:t>
            </w:r>
          </w:p>
        </w:tc>
      </w:tr>
      <w:tr w:rsidR="004B4BD8" w14:paraId="1DCD5E5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0700E" w14:textId="77777777" w:rsidR="004B4BD8" w:rsidRDefault="00FE45C3">
            <w:proofErr w:type="spellStart"/>
            <w:r>
              <w:rPr>
                <w:b/>
                <w:bCs/>
                <w:color w:val="1C2833"/>
                <w:sz w:val="17"/>
                <w:szCs w:val="17"/>
              </w:rPr>
              <w:t>PnL</w:t>
            </w:r>
            <w:proofErr w:type="spellEnd"/>
            <w:r>
              <w:rPr>
                <w:b/>
                <w:bCs/>
                <w:color w:val="1C2833"/>
                <w:sz w:val="17"/>
                <w:szCs w:val="17"/>
              </w:rPr>
              <w:t xml:space="preserve"> — Funding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785ED" w14:textId="77777777" w:rsidR="004B4BD8" w:rsidRDefault="00FE45C3">
            <w:r>
              <w:rPr>
                <w:color w:val="1C2833"/>
                <w:sz w:val="17"/>
                <w:szCs w:val="17"/>
              </w:rPr>
              <w:t>Cost of funds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9C1D2" w14:textId="77777777" w:rsidR="004B4BD8" w:rsidRDefault="00FE45C3">
            <w:r>
              <w:rPr>
                <w:color w:val="1C2833"/>
                <w:sz w:val="17"/>
                <w:szCs w:val="17"/>
              </w:rPr>
              <w:t>£2–5M/day additional funding cost to maintain liquidity buffer while trapped margin is unrecoverable</w:t>
            </w:r>
          </w:p>
        </w:tc>
      </w:tr>
      <w:tr w:rsidR="004B4BD8" w14:paraId="5CA5DCFC"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A933A0" w14:textId="77777777" w:rsidR="004B4BD8" w:rsidRDefault="00FE45C3">
            <w:r>
              <w:rPr>
                <w:b/>
                <w:bCs/>
                <w:color w:val="1C2833"/>
                <w:sz w:val="17"/>
                <w:szCs w:val="17"/>
              </w:rPr>
              <w:t>Survival Horizon</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2E8346" w14:textId="77777777" w:rsidR="004B4BD8" w:rsidRDefault="00FE45C3">
            <w:r>
              <w:rPr>
                <w:color w:val="1C2833"/>
                <w:sz w:val="17"/>
                <w:szCs w:val="17"/>
              </w:rPr>
              <w:t>LCR / Survival Horizon</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6F01D4" w14:textId="77777777" w:rsidR="004B4BD8" w:rsidRDefault="00FE45C3">
            <w:r>
              <w:rPr>
                <w:color w:val="1C2833"/>
                <w:sz w:val="17"/>
                <w:szCs w:val="17"/>
              </w:rPr>
              <w:t>LCR deteriorates by estimated 8–15 percentage points; Survival Horizon reduces by 3–7 days</w:t>
            </w:r>
          </w:p>
        </w:tc>
      </w:tr>
      <w:tr w:rsidR="004B4BD8" w14:paraId="52316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B8783" w14:textId="77777777" w:rsidR="004B4BD8" w:rsidRDefault="00FE45C3">
            <w:r>
              <w:rPr>
                <w:b/>
                <w:bCs/>
                <w:color w:val="1C2833"/>
                <w:sz w:val="17"/>
                <w:szCs w:val="17"/>
              </w:rPr>
              <w:t>Limit Breaches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A8FDE" w14:textId="77777777" w:rsidR="004B4BD8" w:rsidRDefault="00FE45C3">
            <w:proofErr w:type="spellStart"/>
            <w:r>
              <w:rPr>
                <w:color w:val="1C2833"/>
                <w:sz w:val="17"/>
                <w:szCs w:val="17"/>
              </w:rPr>
              <w:t>VaR</w:t>
            </w:r>
            <w:proofErr w:type="spellEnd"/>
            <w:r>
              <w:rPr>
                <w:color w:val="1C2833"/>
                <w:sz w:val="17"/>
                <w:szCs w:val="17"/>
              </w:rPr>
              <w:t>, PVBP, CS01 limits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E2B56" w14:textId="77777777" w:rsidR="004B4BD8" w:rsidRDefault="00FE45C3">
            <w:r>
              <w:rPr>
                <w:color w:val="1C2833"/>
                <w:sz w:val="17"/>
                <w:szCs w:val="17"/>
              </w:rPr>
              <w:t>Multiple limit breaches expected by Day 2 — require Board Risk Committee escalation and limit waiver process</w:t>
            </w:r>
          </w:p>
        </w:tc>
      </w:tr>
    </w:tbl>
    <w:p w14:paraId="4D41454C" w14:textId="77777777" w:rsidR="004B4BD8" w:rsidRDefault="004B4BD8"/>
    <w:p w14:paraId="2CBC7E5E" w14:textId="18251A55" w:rsidR="0071655C" w:rsidRDefault="0071655C">
      <w:r>
        <w:t xml:space="preserve">Include charts for </w:t>
      </w:r>
      <w:proofErr w:type="spellStart"/>
      <w:r>
        <w:t>VaR</w:t>
      </w:r>
      <w:proofErr w:type="spellEnd"/>
      <w:r>
        <w:t xml:space="preserve">, </w:t>
      </w:r>
      <w:proofErr w:type="spellStart"/>
      <w:r>
        <w:t>Liqduity</w:t>
      </w:r>
      <w:proofErr w:type="spellEnd"/>
      <w:r>
        <w:t xml:space="preserve">, </w:t>
      </w:r>
      <w:proofErr w:type="spellStart"/>
      <w:r w:rsidR="000C35CA">
        <w:t>PnL</w:t>
      </w:r>
      <w:proofErr w:type="spellEnd"/>
      <w:r w:rsidR="000C35CA">
        <w:t>, RWA (check excel)</w:t>
      </w:r>
    </w:p>
    <w:p w14:paraId="059A4EBB" w14:textId="77777777" w:rsidR="004F65B4" w:rsidRDefault="004F65B4" w:rsidP="004F65B4">
      <w:pPr>
        <w:pStyle w:val="Heading2"/>
        <w:spacing w:before="220"/>
      </w:pPr>
    </w:p>
    <w:p w14:paraId="297936DC" w14:textId="32596F25" w:rsidR="004F65B4" w:rsidRDefault="00083802" w:rsidP="004F65B4">
      <w:pPr>
        <w:pStyle w:val="Heading2"/>
        <w:spacing w:before="220"/>
      </w:pPr>
      <w:r>
        <w:t>6</w:t>
      </w:r>
      <w:r w:rsidR="004F65B4">
        <w:t>. Scenario-specific consideration</w:t>
      </w:r>
    </w:p>
    <w:p w14:paraId="2A3A53BD" w14:textId="77777777" w:rsidR="004F65B4" w:rsidRDefault="004F65B4" w:rsidP="004F65B4"/>
    <w:p w14:paraId="1AAB4DE2" w14:textId="0D14A6A4" w:rsidR="004F65B4" w:rsidRDefault="00083802" w:rsidP="004F65B4">
      <w:pPr>
        <w:spacing w:before="180" w:after="60"/>
      </w:pPr>
      <w:r>
        <w:rPr>
          <w:b/>
          <w:bCs/>
          <w:color w:val="1C2833"/>
          <w:sz w:val="21"/>
          <w:szCs w:val="21"/>
        </w:rPr>
        <w:t>6</w:t>
      </w:r>
      <w:r w:rsidR="004F65B4">
        <w:rPr>
          <w:b/>
          <w:bCs/>
          <w:color w:val="1C2833"/>
          <w:sz w:val="21"/>
          <w:szCs w:val="21"/>
        </w:rPr>
        <w:t>.1 Model Limitations Under Exchange Closure</w:t>
      </w:r>
    </w:p>
    <w:p w14:paraId="38D790DF" w14:textId="77777777" w:rsidR="004F65B4" w:rsidRDefault="004F65B4" w:rsidP="004F65B4">
      <w:pPr>
        <w:spacing w:after="100"/>
        <w:jc w:val="both"/>
      </w:pPr>
      <w:r>
        <w:rPr>
          <w:color w:val="1C2833"/>
        </w:rPr>
        <w:t xml:space="preserve">Standard </w:t>
      </w:r>
      <w:proofErr w:type="spellStart"/>
      <w:r>
        <w:rPr>
          <w:color w:val="1C2833"/>
        </w:rPr>
        <w:t>VaR</w:t>
      </w:r>
      <w:proofErr w:type="spellEnd"/>
      <w:r>
        <w:rPr>
          <w:color w:val="1C2833"/>
        </w:rPr>
        <w:t>, PVBP, and CS01 frameworks assume continuous market prices. A 5-day gap in CME prices creates three specific model failures:</w:t>
      </w:r>
    </w:p>
    <w:p w14:paraId="40DD9693" w14:textId="77777777" w:rsidR="004F65B4" w:rsidRDefault="004F65B4" w:rsidP="004F65B4">
      <w:pPr>
        <w:pStyle w:val="ListParagraph"/>
        <w:numPr>
          <w:ilvl w:val="0"/>
          <w:numId w:val="2"/>
        </w:numPr>
        <w:spacing w:after="80"/>
      </w:pPr>
      <w:r>
        <w:rPr>
          <w:color w:val="1C2833"/>
        </w:rPr>
        <w:lastRenderedPageBreak/>
        <w:t xml:space="preserve">Price staleness: </w:t>
      </w:r>
      <w:proofErr w:type="spellStart"/>
      <w:r>
        <w:rPr>
          <w:color w:val="1C2833"/>
        </w:rPr>
        <w:t>VaR</w:t>
      </w:r>
      <w:proofErr w:type="spellEnd"/>
      <w:r>
        <w:rPr>
          <w:color w:val="1C2833"/>
        </w:rPr>
        <w:t xml:space="preserve"> models using historical simulation will continue using the last known prices — understating true exposure as market moves accumulate</w:t>
      </w:r>
    </w:p>
    <w:p w14:paraId="0FE65DE5" w14:textId="77777777" w:rsidR="004F65B4" w:rsidRDefault="004F65B4" w:rsidP="004F65B4">
      <w:pPr>
        <w:pStyle w:val="ListParagraph"/>
        <w:numPr>
          <w:ilvl w:val="0"/>
          <w:numId w:val="2"/>
        </w:numPr>
        <w:spacing w:after="80"/>
      </w:pPr>
      <w:r>
        <w:rPr>
          <w:color w:val="1C2833"/>
        </w:rPr>
        <w:t>Delta hedging assumption breakdown: all options pricing models assume continuous hedging ability — gamma exposure on CME-traded options books becomes unmanageable</w:t>
      </w:r>
    </w:p>
    <w:p w14:paraId="13ACE187" w14:textId="77777777" w:rsidR="004F65B4" w:rsidRDefault="004F65B4" w:rsidP="004F65B4">
      <w:pPr>
        <w:pStyle w:val="ListParagraph"/>
        <w:numPr>
          <w:ilvl w:val="0"/>
          <w:numId w:val="2"/>
        </w:numPr>
        <w:spacing w:after="80"/>
      </w:pPr>
      <w:r>
        <w:rPr>
          <w:color w:val="1C2833"/>
        </w:rPr>
        <w:t>Correlation breakdown: cross-asset correlation assumptions embedded in enterprise risk models may not hold in a scenario where one major market is frozen while others remain active</w:t>
      </w:r>
    </w:p>
    <w:p w14:paraId="6A54A885" w14:textId="77777777" w:rsidR="004F65B4" w:rsidRDefault="004F65B4" w:rsidP="004F65B4"/>
    <w:p w14:paraId="4CD1E429" w14:textId="5E1609B0" w:rsidR="004F65B4" w:rsidRDefault="00083802" w:rsidP="004F65B4">
      <w:pPr>
        <w:spacing w:before="180" w:after="60"/>
      </w:pPr>
      <w:r>
        <w:rPr>
          <w:b/>
          <w:bCs/>
          <w:color w:val="1C2833"/>
          <w:sz w:val="21"/>
          <w:szCs w:val="21"/>
        </w:rPr>
        <w:t>6</w:t>
      </w:r>
      <w:r w:rsidR="004F65B4">
        <w:rPr>
          <w:b/>
          <w:bCs/>
          <w:color w:val="1C2833"/>
          <w:sz w:val="21"/>
          <w:szCs w:val="21"/>
        </w:rPr>
        <w:t>.2 Exposure to Exchange — Clients, Derivatives, Unhedged Sensitivities</w:t>
      </w:r>
    </w:p>
    <w:p w14:paraId="2B2ADDAD" w14:textId="77777777" w:rsidR="004F65B4" w:rsidRDefault="004F65B4" w:rsidP="004F65B4">
      <w:pPr>
        <w:pStyle w:val="ListParagraph"/>
        <w:numPr>
          <w:ilvl w:val="0"/>
          <w:numId w:val="2"/>
        </w:numPr>
        <w:spacing w:after="80"/>
      </w:pPr>
      <w:r>
        <w:rPr>
          <w:color w:val="1C2833"/>
        </w:rPr>
        <w:t>Prime brokerage client exposure: clients using CME-listed products as hedges have unhedged long/short positions — bank faces credit exposure if clients cannot post alternative margin</w:t>
      </w:r>
    </w:p>
    <w:p w14:paraId="2686F517" w14:textId="77777777" w:rsidR="004F65B4" w:rsidRDefault="004F65B4" w:rsidP="004F65B4">
      <w:pPr>
        <w:pStyle w:val="ListParagraph"/>
        <w:numPr>
          <w:ilvl w:val="0"/>
          <w:numId w:val="2"/>
        </w:numPr>
        <w:spacing w:after="80"/>
      </w:pPr>
      <w:r>
        <w:rPr>
          <w:color w:val="1C2833"/>
        </w:rPr>
        <w:t>Derivative exposure crystallisation: exchange-cleared derivatives that the bank has offered to clients and hedged at CME are now un-</w:t>
      </w:r>
      <w:proofErr w:type="spellStart"/>
      <w:r>
        <w:rPr>
          <w:color w:val="1C2833"/>
        </w:rPr>
        <w:t>hedgeable</w:t>
      </w:r>
      <w:proofErr w:type="spellEnd"/>
      <w:r>
        <w:rPr>
          <w:color w:val="1C2833"/>
        </w:rPr>
        <w:t xml:space="preserve"> — direct P&amp;L exposure to the bank for the duration of the closure</w:t>
      </w:r>
    </w:p>
    <w:p w14:paraId="22753286" w14:textId="77777777" w:rsidR="004F65B4" w:rsidRDefault="004F65B4" w:rsidP="004F65B4">
      <w:pPr>
        <w:pStyle w:val="ListParagraph"/>
        <w:numPr>
          <w:ilvl w:val="0"/>
          <w:numId w:val="2"/>
        </w:numPr>
        <w:spacing w:after="80"/>
      </w:pPr>
      <w:r>
        <w:rPr>
          <w:color w:val="1C2833"/>
        </w:rPr>
        <w:t>Unhedged sensitivities: equity, FX, and rates desks accumulate directional sensitivity at a rate that depends on market moves and the desk's pre-event net position — daily sensitivity build-up must be tracked and reported to CRO</w:t>
      </w:r>
    </w:p>
    <w:p w14:paraId="199577E3" w14:textId="70BE1AD6" w:rsidR="004F65B4" w:rsidRDefault="004F65B4" w:rsidP="004F65B4">
      <w:pPr>
        <w:pStyle w:val="ListParagraph"/>
        <w:numPr>
          <w:ilvl w:val="0"/>
          <w:numId w:val="2"/>
        </w:numPr>
        <w:spacing w:after="80"/>
      </w:pPr>
      <w:r>
        <w:rPr>
          <w:color w:val="1C2833"/>
        </w:rPr>
        <w:t>IBS/BP linkage: Internal Business Systems dependent on CME price feeds (risk systems, collateral management, client reporting) face data integrity issues — manual workarounds required</w:t>
      </w:r>
    </w:p>
    <w:p w14:paraId="1624F0D8" w14:textId="017F2FAF" w:rsidR="004F65B4" w:rsidRDefault="00083802" w:rsidP="004F65B4">
      <w:pPr>
        <w:spacing w:before="180" w:after="60"/>
      </w:pPr>
      <w:r>
        <w:rPr>
          <w:b/>
          <w:bCs/>
          <w:color w:val="1C2833"/>
          <w:sz w:val="21"/>
          <w:szCs w:val="21"/>
        </w:rPr>
        <w:t>6</w:t>
      </w:r>
      <w:r w:rsidR="004F65B4">
        <w:rPr>
          <w:b/>
          <w:bCs/>
          <w:color w:val="1C2833"/>
          <w:sz w:val="21"/>
          <w:szCs w:val="21"/>
        </w:rPr>
        <w:t>.</w:t>
      </w:r>
      <w:r>
        <w:rPr>
          <w:b/>
          <w:bCs/>
          <w:color w:val="1C2833"/>
          <w:sz w:val="21"/>
          <w:szCs w:val="21"/>
        </w:rPr>
        <w:t>3</w:t>
      </w:r>
      <w:r w:rsidR="004F65B4">
        <w:rPr>
          <w:b/>
          <w:bCs/>
          <w:color w:val="1C2833"/>
          <w:sz w:val="21"/>
          <w:szCs w:val="21"/>
        </w:rPr>
        <w:t xml:space="preserve"> Regulatory Notification Requirements</w:t>
      </w:r>
    </w:p>
    <w:p w14:paraId="22385CD9" w14:textId="77777777" w:rsidR="004F65B4" w:rsidRDefault="004F65B4" w:rsidP="004F65B4">
      <w:pPr>
        <w:pStyle w:val="ListParagraph"/>
        <w:numPr>
          <w:ilvl w:val="0"/>
          <w:numId w:val="2"/>
        </w:numPr>
        <w:spacing w:after="80"/>
      </w:pPr>
      <w:r>
        <w:rPr>
          <w:color w:val="1C2833"/>
        </w:rPr>
        <w:t>PRA/FCA: notification required within 24 hours of a material operational disruption under DORA (Digital Operational Resilience Act) and FCA SYSC 15A — confirm reporting obligations with Legal &amp; Compliance</w:t>
      </w:r>
    </w:p>
    <w:p w14:paraId="674EA428" w14:textId="77777777" w:rsidR="004F65B4" w:rsidRDefault="004F65B4" w:rsidP="004F65B4">
      <w:pPr>
        <w:pStyle w:val="ListParagraph"/>
        <w:numPr>
          <w:ilvl w:val="0"/>
          <w:numId w:val="2"/>
        </w:numPr>
        <w:spacing w:after="80"/>
      </w:pPr>
      <w:r>
        <w:rPr>
          <w:color w:val="1C2833"/>
        </w:rPr>
        <w:t>CFTC: as a registered FCM or clearing member, the bank has direct reporting obligations to the CFTC regarding clearing disruption and client fund segregation</w:t>
      </w:r>
    </w:p>
    <w:p w14:paraId="53FCEF67" w14:textId="605D1221" w:rsidR="004F65B4" w:rsidRPr="004F65B4" w:rsidRDefault="004F65B4" w:rsidP="004F65B4">
      <w:pPr>
        <w:pStyle w:val="ListParagraph"/>
        <w:numPr>
          <w:ilvl w:val="0"/>
          <w:numId w:val="2"/>
        </w:numPr>
        <w:spacing w:after="80"/>
      </w:pPr>
      <w:r>
        <w:rPr>
          <w:color w:val="1C2833"/>
        </w:rPr>
        <w:t>Basel 3.1 Operational Risk: this event is an external operational risk loss event that must be captured in the operational risk loss data system for SMA calculation purposes</w:t>
      </w:r>
    </w:p>
    <w:p w14:paraId="655892B3" w14:textId="77777777" w:rsidR="004F65B4" w:rsidRDefault="004F65B4" w:rsidP="004F65B4">
      <w:pPr>
        <w:spacing w:after="80"/>
      </w:pPr>
    </w:p>
    <w:p w14:paraId="5F8C1F0D" w14:textId="07D3F6F2" w:rsidR="004B4BD8" w:rsidRDefault="00FE45C3" w:rsidP="00083802">
      <w:pPr>
        <w:pStyle w:val="Heading2"/>
        <w:spacing w:before="220"/>
      </w:pPr>
      <w:r>
        <w:t xml:space="preserve">7. </w:t>
      </w:r>
      <w:r w:rsidR="005E2686">
        <w:t>Actions</w:t>
      </w:r>
    </w:p>
    <w:p w14:paraId="1D901C74" w14:textId="77777777" w:rsidR="004B4BD8" w:rsidRDefault="00FE45C3">
      <w:pPr>
        <w:spacing w:before="180" w:after="60"/>
      </w:pPr>
      <w:r>
        <w:rPr>
          <w:b/>
          <w:bCs/>
          <w:color w:val="1C2833"/>
          <w:sz w:val="21"/>
          <w:szCs w:val="21"/>
        </w:rPr>
        <w:t>7.1 Immediate Actions (0–4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BD8" w14:paraId="411BEC4A" w14:textId="77777777">
        <w:tc>
          <w:tcPr>
            <w:tcW w:w="9360" w:type="dxa"/>
            <w:tcBorders>
              <w:top w:val="single" w:sz="1" w:space="0" w:color="8B1A1A"/>
              <w:left w:val="single" w:sz="18" w:space="0" w:color="8B1A1A"/>
              <w:bottom w:val="single" w:sz="1" w:space="0" w:color="8B1A1A"/>
              <w:right w:val="single" w:sz="1" w:space="0" w:color="8B1A1A"/>
            </w:tcBorders>
            <w:shd w:val="clear" w:color="auto" w:fill="FDF2F2"/>
            <w:tcMar>
              <w:top w:w="100" w:type="dxa"/>
              <w:left w:w="160" w:type="dxa"/>
              <w:bottom w:w="100" w:type="dxa"/>
              <w:right w:w="160" w:type="dxa"/>
            </w:tcMar>
          </w:tcPr>
          <w:p w14:paraId="3CA042BE" w14:textId="77777777" w:rsidR="004B4BD8" w:rsidRDefault="00FE45C3">
            <w:r>
              <w:rPr>
                <w:b/>
                <w:bCs/>
                <w:color w:val="8B1A1A"/>
              </w:rPr>
              <w:t>T+0 — Immediate Escalation Protocol</w:t>
            </w:r>
          </w:p>
          <w:p w14:paraId="6B2D3A21" w14:textId="2873044B" w:rsidR="004B4BD8" w:rsidRDefault="00B3395B">
            <w:pPr>
              <w:spacing w:before="40"/>
            </w:pPr>
            <w:r>
              <w:rPr>
                <w:color w:val="1C2833"/>
                <w:sz w:val="19"/>
                <w:szCs w:val="19"/>
              </w:rPr>
              <w:t xml:space="preserve">Convene </w:t>
            </w:r>
            <w:r w:rsidR="00FE45C3">
              <w:rPr>
                <w:color w:val="1C2833"/>
                <w:sz w:val="19"/>
                <w:szCs w:val="19"/>
              </w:rPr>
              <w:t>Emergency Risk Committee within 1 hour of confirmed CME closure. Activate Business Continuity Plan for Global Markets. Notify PRA/FCA as required under DORA/SYSC 15A. Freeze new exchange-traded derivatives business pending assessment.</w:t>
            </w:r>
          </w:p>
        </w:tc>
      </w:tr>
    </w:tbl>
    <w:p w14:paraId="6744A6BA" w14:textId="77777777" w:rsidR="004B4BD8" w:rsidRDefault="004B4BD8"/>
    <w:p w14:paraId="4FBD1139" w14:textId="77777777" w:rsidR="004B4BD8" w:rsidRDefault="00FE45C3">
      <w:pPr>
        <w:pStyle w:val="ListParagraph"/>
        <w:numPr>
          <w:ilvl w:val="0"/>
          <w:numId w:val="2"/>
        </w:numPr>
        <w:spacing w:after="80"/>
      </w:pPr>
      <w:r>
        <w:rPr>
          <w:color w:val="1C2833"/>
        </w:rPr>
        <w:t>Declare operational incident — activate CME Exchange Failure playbook within Operational Risk framework</w:t>
      </w:r>
    </w:p>
    <w:p w14:paraId="234AA7E0" w14:textId="77777777" w:rsidR="004B4BD8" w:rsidRDefault="00FE45C3">
      <w:pPr>
        <w:pStyle w:val="ListParagraph"/>
        <w:numPr>
          <w:ilvl w:val="0"/>
          <w:numId w:val="2"/>
        </w:numPr>
        <w:spacing w:after="80"/>
      </w:pPr>
      <w:r>
        <w:rPr>
          <w:color w:val="1C2833"/>
        </w:rPr>
        <w:t>Freeze new on-boarding of exchange-traded products — halt all new CME-listed derivatives transactions immediately</w:t>
      </w:r>
    </w:p>
    <w:p w14:paraId="021712FF" w14:textId="77777777" w:rsidR="004B4BD8" w:rsidRDefault="00FE45C3">
      <w:pPr>
        <w:pStyle w:val="ListParagraph"/>
        <w:numPr>
          <w:ilvl w:val="0"/>
          <w:numId w:val="2"/>
        </w:numPr>
        <w:spacing w:after="80"/>
      </w:pPr>
      <w:r>
        <w:rPr>
          <w:color w:val="1C2833"/>
        </w:rPr>
        <w:t>Risk team to produce real-time unhedged sensitivity report for CRO every 2 hours during closure — key metrics: net delta per asset class, trapped margin amount, daily P&amp;L sensitivity</w:t>
      </w:r>
    </w:p>
    <w:p w14:paraId="4A407337" w14:textId="77777777" w:rsidR="004B4BD8" w:rsidRDefault="00FE45C3">
      <w:pPr>
        <w:pStyle w:val="ListParagraph"/>
        <w:numPr>
          <w:ilvl w:val="0"/>
          <w:numId w:val="2"/>
        </w:numPr>
        <w:spacing w:after="80"/>
      </w:pPr>
      <w:r>
        <w:rPr>
          <w:color w:val="1C2833"/>
        </w:rPr>
        <w:t>Activate OTC fallback execution: Rates desk to ICE/Eurex; FX desk to bilateral bank counterparties; Equity desk to OTC total return swaps where feasible</w:t>
      </w:r>
    </w:p>
    <w:p w14:paraId="2590CFC3" w14:textId="77777777" w:rsidR="004B4BD8" w:rsidRDefault="00FE45C3">
      <w:pPr>
        <w:pStyle w:val="ListParagraph"/>
        <w:numPr>
          <w:ilvl w:val="0"/>
          <w:numId w:val="2"/>
        </w:numPr>
        <w:spacing w:after="80"/>
      </w:pPr>
      <w:r>
        <w:rPr>
          <w:color w:val="1C2833"/>
        </w:rPr>
        <w:t>Collateral management team to identify and segregate client margin held at CME — no netting or rehypothecation of trapped client assets</w:t>
      </w:r>
    </w:p>
    <w:p w14:paraId="3F7F40F5" w14:textId="77777777" w:rsidR="004B4BD8" w:rsidRDefault="004B4BD8"/>
    <w:p w14:paraId="0FEBDE09" w14:textId="77777777" w:rsidR="004B4BD8" w:rsidRDefault="00FE45C3">
      <w:pPr>
        <w:spacing w:before="180" w:after="60"/>
      </w:pPr>
      <w:r>
        <w:rPr>
          <w:b/>
          <w:bCs/>
          <w:color w:val="1C2833"/>
          <w:sz w:val="21"/>
          <w:szCs w:val="21"/>
        </w:rPr>
        <w:t>7.2 Short-Term Actions (4–24 Hours)</w:t>
      </w:r>
    </w:p>
    <w:p w14:paraId="66B1A961" w14:textId="77777777" w:rsidR="004B4BD8" w:rsidRDefault="00FE45C3">
      <w:pPr>
        <w:pStyle w:val="ListParagraph"/>
        <w:numPr>
          <w:ilvl w:val="0"/>
          <w:numId w:val="2"/>
        </w:numPr>
        <w:spacing w:after="80"/>
      </w:pPr>
      <w:r>
        <w:rPr>
          <w:color w:val="1C2833"/>
        </w:rPr>
        <w:t xml:space="preserve">Lower limits: CRO to approve temporary limit waivers for Trading </w:t>
      </w:r>
      <w:proofErr w:type="spellStart"/>
      <w:r>
        <w:rPr>
          <w:color w:val="1C2833"/>
        </w:rPr>
        <w:t>VaR</w:t>
      </w:r>
      <w:proofErr w:type="spellEnd"/>
      <w:r>
        <w:rPr>
          <w:color w:val="1C2833"/>
        </w:rPr>
        <w:t>, PVBP, and CS01 — set new monitoring bands specific to the exchange closure scenario</w:t>
      </w:r>
    </w:p>
    <w:p w14:paraId="48BBCB39" w14:textId="77777777" w:rsidR="004B4BD8" w:rsidRDefault="00FE45C3">
      <w:pPr>
        <w:pStyle w:val="ListParagraph"/>
        <w:numPr>
          <w:ilvl w:val="0"/>
          <w:numId w:val="2"/>
        </w:numPr>
        <w:spacing w:after="80"/>
      </w:pPr>
      <w:r>
        <w:rPr>
          <w:color w:val="1C2833"/>
        </w:rPr>
        <w:lastRenderedPageBreak/>
        <w:t>Wind down trades: identify positions where OTC replication is feasible and execute delta-hedging transactions — prioritise largest sensitivity exposures first</w:t>
      </w:r>
    </w:p>
    <w:p w14:paraId="67703381" w14:textId="77777777" w:rsidR="004B4BD8" w:rsidRDefault="00FE45C3">
      <w:pPr>
        <w:pStyle w:val="ListParagraph"/>
        <w:numPr>
          <w:ilvl w:val="0"/>
          <w:numId w:val="2"/>
        </w:numPr>
        <w:spacing w:after="80"/>
      </w:pPr>
      <w:r>
        <w:rPr>
          <w:color w:val="1C2833"/>
        </w:rPr>
        <w:t>Client communication: Prime Brokerage to contact all clients with CME-cleared positions — communicate exposure implications, alternative margin arrangements, and timeline expectations</w:t>
      </w:r>
    </w:p>
    <w:p w14:paraId="5674C7FC" w14:textId="77777777" w:rsidR="004B4BD8" w:rsidRDefault="00FE45C3">
      <w:pPr>
        <w:pStyle w:val="ListParagraph"/>
        <w:numPr>
          <w:ilvl w:val="0"/>
          <w:numId w:val="2"/>
        </w:numPr>
        <w:spacing w:after="80"/>
      </w:pPr>
      <w:r>
        <w:rPr>
          <w:color w:val="1C2833"/>
        </w:rPr>
        <w:t>Cyber risk assessment: CISO to conduct immediate assessment of bank's own systems for any lateral attack vectors — assume adversary may target connected infrastructure</w:t>
      </w:r>
    </w:p>
    <w:p w14:paraId="5928EC81" w14:textId="77777777" w:rsidR="004B4BD8" w:rsidRDefault="00FE45C3">
      <w:pPr>
        <w:pStyle w:val="ListParagraph"/>
        <w:numPr>
          <w:ilvl w:val="0"/>
          <w:numId w:val="2"/>
        </w:numPr>
        <w:spacing w:after="80"/>
      </w:pPr>
      <w:r>
        <w:rPr>
          <w:color w:val="1C2833"/>
        </w:rPr>
        <w:t>Liquidity contingency: Treasury to pre-position contingency funding — activate committed credit facilities if trapped margin exceeds x% of HQLA buffer</w:t>
      </w:r>
    </w:p>
    <w:p w14:paraId="12060887" w14:textId="77777777" w:rsidR="004B4BD8" w:rsidRDefault="004B4BD8"/>
    <w:p w14:paraId="0C81D998" w14:textId="77777777" w:rsidR="004B4BD8" w:rsidRDefault="00FE45C3">
      <w:pPr>
        <w:spacing w:before="180" w:after="60"/>
      </w:pPr>
      <w:r>
        <w:rPr>
          <w:b/>
          <w:bCs/>
          <w:color w:val="1C2833"/>
          <w:sz w:val="21"/>
          <w:szCs w:val="21"/>
        </w:rPr>
        <w:t>7.3 Ongoing Actions (Day 2 – Resolution)</w:t>
      </w:r>
    </w:p>
    <w:p w14:paraId="6C8558AF" w14:textId="77777777" w:rsidR="004B4BD8" w:rsidRDefault="00FE45C3">
      <w:pPr>
        <w:pStyle w:val="ListParagraph"/>
        <w:numPr>
          <w:ilvl w:val="0"/>
          <w:numId w:val="2"/>
        </w:numPr>
        <w:spacing w:after="80"/>
      </w:pPr>
      <w:r>
        <w:rPr>
          <w:color w:val="1C2833"/>
        </w:rPr>
        <w:t xml:space="preserve">Daily CRO </w:t>
      </w:r>
      <w:proofErr w:type="gramStart"/>
      <w:r>
        <w:rPr>
          <w:color w:val="1C2833"/>
        </w:rPr>
        <w:t>briefing:</w:t>
      </w:r>
      <w:proofErr w:type="gramEnd"/>
      <w:r>
        <w:rPr>
          <w:color w:val="1C2833"/>
        </w:rPr>
        <w:t xml:space="preserve"> produce single-page CRO dashboard update daily — unhedged sensitivity, trapped margin status, P&amp;L accumulation, limit breach register</w:t>
      </w:r>
    </w:p>
    <w:p w14:paraId="52A821D1" w14:textId="77777777" w:rsidR="004B4BD8" w:rsidRDefault="00FE45C3">
      <w:pPr>
        <w:pStyle w:val="ListParagraph"/>
        <w:numPr>
          <w:ilvl w:val="0"/>
          <w:numId w:val="2"/>
        </w:numPr>
        <w:spacing w:after="80"/>
      </w:pPr>
      <w:r>
        <w:rPr>
          <w:color w:val="1C2833"/>
        </w:rPr>
        <w:t>Regulatory engagement: maintain daily contact with PRA/FCA — provide updates on operational resilience and client fund protection</w:t>
      </w:r>
    </w:p>
    <w:p w14:paraId="17262CAA" w14:textId="77777777" w:rsidR="004B4BD8" w:rsidRDefault="00FE45C3">
      <w:pPr>
        <w:pStyle w:val="ListParagraph"/>
        <w:numPr>
          <w:ilvl w:val="0"/>
          <w:numId w:val="2"/>
        </w:numPr>
        <w:spacing w:after="80"/>
      </w:pPr>
      <w:r>
        <w:rPr>
          <w:color w:val="1C2833"/>
        </w:rPr>
        <w:t>Scenario escalation: if closure extends beyond 3 days, escalate to Board Risk Committee — consider whether the scenario is shifting from operational risk event to systemic risk event</w:t>
      </w:r>
    </w:p>
    <w:p w14:paraId="2E8C3227" w14:textId="77777777" w:rsidR="004B4BD8" w:rsidRDefault="00FE45C3">
      <w:pPr>
        <w:pStyle w:val="ListParagraph"/>
        <w:numPr>
          <w:ilvl w:val="0"/>
          <w:numId w:val="2"/>
        </w:numPr>
        <w:spacing w:after="80"/>
      </w:pPr>
      <w:r>
        <w:rPr>
          <w:color w:val="1C2833"/>
        </w:rPr>
        <w:t>Post-event review: commission root cause analysis and lessons learned report within 30 days — assess whether current business continuity plan provides adequate coverage for infrastructure attack scenarios</w:t>
      </w:r>
    </w:p>
    <w:p w14:paraId="536CC514" w14:textId="77777777" w:rsidR="004B4BD8" w:rsidRDefault="00FE45C3">
      <w:pPr>
        <w:pStyle w:val="ListParagraph"/>
        <w:numPr>
          <w:ilvl w:val="0"/>
          <w:numId w:val="2"/>
        </w:numPr>
        <w:spacing w:after="80"/>
      </w:pPr>
      <w:r>
        <w:rPr>
          <w:color w:val="1C2833"/>
        </w:rPr>
        <w:t>Capital planning: notify ALCO of potential RWA increase — assess impact on capital distribution plans and regulatory capital ratios for upcoming PRA submission</w:t>
      </w:r>
    </w:p>
    <w:p w14:paraId="0ED171FA" w14:textId="77777777" w:rsidR="004B4BD8" w:rsidRDefault="004B4BD8"/>
    <w:p w14:paraId="0BD52190" w14:textId="0B34F644" w:rsidR="004B4BD8" w:rsidRDefault="004B4BD8"/>
    <w:sectPr w:rsidR="004B4BD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11D1E" w14:textId="77777777" w:rsidR="000B6EFE" w:rsidRDefault="000B6EFE">
      <w:r>
        <w:separator/>
      </w:r>
    </w:p>
  </w:endnote>
  <w:endnote w:type="continuationSeparator" w:id="0">
    <w:p w14:paraId="0EA8CAA6" w14:textId="77777777" w:rsidR="000B6EFE" w:rsidRDefault="000B6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4776" w14:textId="77777777" w:rsidR="004B4BD8" w:rsidRDefault="00FE45C3">
    <w:pPr>
      <w:pBdr>
        <w:top w:val="single" w:sz="4" w:space="4" w:color="CCCCCC"/>
      </w:pBdr>
      <w:tabs>
        <w:tab w:val="right" w:pos="9360"/>
      </w:tabs>
    </w:pPr>
    <w:r>
      <w:rPr>
        <w:color w:val="888888"/>
        <w:sz w:val="16"/>
        <w:szCs w:val="16"/>
      </w:rPr>
      <w:t xml:space="preserve">INTERNAL USE </w:t>
    </w:r>
    <w:proofErr w:type="gramStart"/>
    <w:r>
      <w:rPr>
        <w:color w:val="888888"/>
        <w:sz w:val="16"/>
        <w:szCs w:val="16"/>
      </w:rPr>
      <w:t>ONLY  —</w:t>
    </w:r>
    <w:proofErr w:type="gramEnd"/>
    <w:r>
      <w:rPr>
        <w:color w:val="888888"/>
        <w:sz w:val="16"/>
        <w:szCs w:val="16"/>
      </w:rPr>
      <w:t xml:space="preserve">  CRO / BOARD RESTRICTED</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71F2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B343A" w14:textId="77777777" w:rsidR="000B6EFE" w:rsidRDefault="000B6EFE">
      <w:r>
        <w:separator/>
      </w:r>
    </w:p>
  </w:footnote>
  <w:footnote w:type="continuationSeparator" w:id="0">
    <w:p w14:paraId="61ED3D2E" w14:textId="77777777" w:rsidR="000B6EFE" w:rsidRDefault="000B6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82820" w14:textId="77777777" w:rsidR="004B4BD8" w:rsidRDefault="00FE45C3">
    <w:pPr>
      <w:pBdr>
        <w:bottom w:val="single" w:sz="6" w:space="4" w:color="8B1A1A"/>
      </w:pBdr>
      <w:tabs>
        <w:tab w:val="right" w:pos="9360"/>
      </w:tabs>
    </w:pPr>
    <w:r>
      <w:rPr>
        <w:b/>
        <w:bCs/>
        <w:color w:val="8B1A1A"/>
        <w:sz w:val="16"/>
        <w:szCs w:val="16"/>
      </w:rPr>
      <w:t xml:space="preserve">Risk </w:t>
    </w:r>
    <w:proofErr w:type="gramStart"/>
    <w:r>
      <w:rPr>
        <w:b/>
        <w:bCs/>
        <w:color w:val="8B1A1A"/>
        <w:sz w:val="16"/>
        <w:szCs w:val="16"/>
      </w:rPr>
      <w:t>Compass  |</w:t>
    </w:r>
    <w:proofErr w:type="gramEnd"/>
    <w:r>
      <w:rPr>
        <w:b/>
        <w:bCs/>
        <w:color w:val="8B1A1A"/>
        <w:sz w:val="16"/>
        <w:szCs w:val="16"/>
      </w:rPr>
      <w:t xml:space="preserve">  Scenario Analysis Module</w:t>
    </w:r>
    <w:r>
      <w:rPr>
        <w:color w:val="888888"/>
        <w:sz w:val="16"/>
        <w:szCs w:val="16"/>
      </w:rPr>
      <w:tab/>
      <w:t xml:space="preserve">Atlas International </w:t>
    </w:r>
    <w:proofErr w:type="gramStart"/>
    <w:r>
      <w:rPr>
        <w:color w:val="888888"/>
        <w:sz w:val="16"/>
        <w:szCs w:val="16"/>
      </w:rPr>
      <w:t>Bank  —</w:t>
    </w:r>
    <w:proofErr w:type="gramEnd"/>
    <w:r>
      <w:rPr>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02E"/>
    <w:multiLevelType w:val="hybridMultilevel"/>
    <w:tmpl w:val="835E53B0"/>
    <w:lvl w:ilvl="0" w:tplc="200481B6">
      <w:start w:val="1"/>
      <w:numFmt w:val="bullet"/>
      <w:lvlText w:val="•"/>
      <w:lvlJc w:val="left"/>
      <w:pPr>
        <w:ind w:left="720" w:hanging="360"/>
      </w:pPr>
    </w:lvl>
    <w:lvl w:ilvl="1" w:tplc="AB485352">
      <w:numFmt w:val="decimal"/>
      <w:lvlText w:val=""/>
      <w:lvlJc w:val="left"/>
    </w:lvl>
    <w:lvl w:ilvl="2" w:tplc="E716BAA4">
      <w:numFmt w:val="decimal"/>
      <w:lvlText w:val=""/>
      <w:lvlJc w:val="left"/>
    </w:lvl>
    <w:lvl w:ilvl="3" w:tplc="C4604BD6">
      <w:numFmt w:val="decimal"/>
      <w:lvlText w:val=""/>
      <w:lvlJc w:val="left"/>
    </w:lvl>
    <w:lvl w:ilvl="4" w:tplc="E294C7AE">
      <w:numFmt w:val="decimal"/>
      <w:lvlText w:val=""/>
      <w:lvlJc w:val="left"/>
    </w:lvl>
    <w:lvl w:ilvl="5" w:tplc="0C6607DC">
      <w:numFmt w:val="decimal"/>
      <w:lvlText w:val=""/>
      <w:lvlJc w:val="left"/>
    </w:lvl>
    <w:lvl w:ilvl="6" w:tplc="D294224C">
      <w:numFmt w:val="decimal"/>
      <w:lvlText w:val=""/>
      <w:lvlJc w:val="left"/>
    </w:lvl>
    <w:lvl w:ilvl="7" w:tplc="416C3A74">
      <w:numFmt w:val="decimal"/>
      <w:lvlText w:val=""/>
      <w:lvlJc w:val="left"/>
    </w:lvl>
    <w:lvl w:ilvl="8" w:tplc="C7022EFA">
      <w:numFmt w:val="decimal"/>
      <w:lvlText w:val=""/>
      <w:lvlJc w:val="left"/>
    </w:lvl>
  </w:abstractNum>
  <w:abstractNum w:abstractNumId="1" w15:restartNumberingAfterBreak="0">
    <w:nsid w:val="1F497C2C"/>
    <w:multiLevelType w:val="hybridMultilevel"/>
    <w:tmpl w:val="E3BEA7D8"/>
    <w:lvl w:ilvl="0" w:tplc="9E021D96">
      <w:start w:val="1"/>
      <w:numFmt w:val="bullet"/>
      <w:lvlText w:val="●"/>
      <w:lvlJc w:val="left"/>
      <w:pPr>
        <w:ind w:left="720" w:hanging="360"/>
      </w:pPr>
    </w:lvl>
    <w:lvl w:ilvl="1" w:tplc="8D905FAA">
      <w:start w:val="1"/>
      <w:numFmt w:val="bullet"/>
      <w:lvlText w:val="○"/>
      <w:lvlJc w:val="left"/>
      <w:pPr>
        <w:ind w:left="1440" w:hanging="360"/>
      </w:pPr>
    </w:lvl>
    <w:lvl w:ilvl="2" w:tplc="6F7663D6">
      <w:start w:val="1"/>
      <w:numFmt w:val="bullet"/>
      <w:lvlText w:val="■"/>
      <w:lvlJc w:val="left"/>
      <w:pPr>
        <w:ind w:left="2160" w:hanging="360"/>
      </w:pPr>
    </w:lvl>
    <w:lvl w:ilvl="3" w:tplc="91B8BBBC">
      <w:start w:val="1"/>
      <w:numFmt w:val="bullet"/>
      <w:lvlText w:val="●"/>
      <w:lvlJc w:val="left"/>
      <w:pPr>
        <w:ind w:left="2880" w:hanging="360"/>
      </w:pPr>
    </w:lvl>
    <w:lvl w:ilvl="4" w:tplc="BF720A46">
      <w:start w:val="1"/>
      <w:numFmt w:val="bullet"/>
      <w:lvlText w:val="○"/>
      <w:lvlJc w:val="left"/>
      <w:pPr>
        <w:ind w:left="3600" w:hanging="360"/>
      </w:pPr>
    </w:lvl>
    <w:lvl w:ilvl="5" w:tplc="8998FBFA">
      <w:start w:val="1"/>
      <w:numFmt w:val="bullet"/>
      <w:lvlText w:val="■"/>
      <w:lvlJc w:val="left"/>
      <w:pPr>
        <w:ind w:left="4320" w:hanging="360"/>
      </w:pPr>
    </w:lvl>
    <w:lvl w:ilvl="6" w:tplc="51860442">
      <w:start w:val="1"/>
      <w:numFmt w:val="bullet"/>
      <w:lvlText w:val="●"/>
      <w:lvlJc w:val="left"/>
      <w:pPr>
        <w:ind w:left="5040" w:hanging="360"/>
      </w:pPr>
    </w:lvl>
    <w:lvl w:ilvl="7" w:tplc="B34C145A">
      <w:start w:val="1"/>
      <w:numFmt w:val="bullet"/>
      <w:lvlText w:val="●"/>
      <w:lvlJc w:val="left"/>
      <w:pPr>
        <w:ind w:left="5760" w:hanging="360"/>
      </w:pPr>
    </w:lvl>
    <w:lvl w:ilvl="8" w:tplc="1CC06E24">
      <w:start w:val="1"/>
      <w:numFmt w:val="bullet"/>
      <w:lvlText w:val="●"/>
      <w:lvlJc w:val="left"/>
      <w:pPr>
        <w:ind w:left="6480" w:hanging="360"/>
      </w:pPr>
    </w:lvl>
  </w:abstractNum>
  <w:abstractNum w:abstractNumId="2" w15:restartNumberingAfterBreak="0">
    <w:nsid w:val="54CE3539"/>
    <w:multiLevelType w:val="hybridMultilevel"/>
    <w:tmpl w:val="9A9276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1222902">
    <w:abstractNumId w:val="1"/>
    <w:lvlOverride w:ilvl="0">
      <w:startOverride w:val="1"/>
    </w:lvlOverride>
  </w:num>
  <w:num w:numId="2" w16cid:durableId="1242372670">
    <w:abstractNumId w:val="0"/>
    <w:lvlOverride w:ilvl="0">
      <w:startOverride w:val="1"/>
    </w:lvlOverride>
  </w:num>
  <w:num w:numId="3" w16cid:durableId="1443109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BD8"/>
    <w:rsid w:val="00083802"/>
    <w:rsid w:val="000B6EFE"/>
    <w:rsid w:val="000C35CA"/>
    <w:rsid w:val="0017346F"/>
    <w:rsid w:val="00194E84"/>
    <w:rsid w:val="002C2937"/>
    <w:rsid w:val="00311647"/>
    <w:rsid w:val="003B0DF7"/>
    <w:rsid w:val="004B4BD8"/>
    <w:rsid w:val="004F65B4"/>
    <w:rsid w:val="00500BFD"/>
    <w:rsid w:val="0056295C"/>
    <w:rsid w:val="00571F29"/>
    <w:rsid w:val="00590CAB"/>
    <w:rsid w:val="00593B53"/>
    <w:rsid w:val="00594574"/>
    <w:rsid w:val="005B3E77"/>
    <w:rsid w:val="005E2686"/>
    <w:rsid w:val="00614EAF"/>
    <w:rsid w:val="00636C32"/>
    <w:rsid w:val="006B4663"/>
    <w:rsid w:val="0071655C"/>
    <w:rsid w:val="007573F5"/>
    <w:rsid w:val="007A72BC"/>
    <w:rsid w:val="00845445"/>
    <w:rsid w:val="0084669C"/>
    <w:rsid w:val="008C3DF4"/>
    <w:rsid w:val="009E47FD"/>
    <w:rsid w:val="00B3395B"/>
    <w:rsid w:val="00C6419B"/>
    <w:rsid w:val="00D0227C"/>
    <w:rsid w:val="00D5564E"/>
    <w:rsid w:val="00DE5FD1"/>
    <w:rsid w:val="00E1482E"/>
    <w:rsid w:val="00EC64E6"/>
    <w:rsid w:val="00EE613C"/>
    <w:rsid w:val="00F454E5"/>
    <w:rsid w:val="00F60817"/>
    <w:rsid w:val="00F80B4A"/>
    <w:rsid w:val="00FA2FB6"/>
    <w:rsid w:val="00FE45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2D57D"/>
  <w15:docId w15:val="{33877689-0FBF-4536-BC72-74284A1D4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8B1A1A"/>
      <w:sz w:val="28"/>
      <w:szCs w:val="28"/>
    </w:rPr>
  </w:style>
  <w:style w:type="paragraph" w:styleId="Heading2">
    <w:name w:val="heading 2"/>
    <w:uiPriority w:val="9"/>
    <w:unhideWhenUsed/>
    <w:qFormat/>
    <w:pPr>
      <w:spacing w:before="240" w:after="8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2842</Words>
  <Characters>16206</Characters>
  <Application>Microsoft Office Word</Application>
  <DocSecurity>0</DocSecurity>
  <Lines>135</Lines>
  <Paragraphs>38</Paragraphs>
  <ScaleCrop>false</ScaleCrop>
  <Company>Genpact</Company>
  <LinksUpToDate>false</LinksUpToDate>
  <CharactersWithSpaces>19010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Adapa, Bhavika</cp:lastModifiedBy>
  <cp:revision>36</cp:revision>
  <dcterms:created xsi:type="dcterms:W3CDTF">2026-05-19T11:37:00Z</dcterms:created>
  <dcterms:modified xsi:type="dcterms:W3CDTF">2026-05-19T12:53:00Z</dcterms:modified>
</cp:coreProperties>
</file>