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left"/>
      </w:pPr>
      <w:r>
        <w:rPr>
          <w:b/>
          <w:bCs/>
          <w:color w:val="1D4ED8"/>
          <w:spacing w:val="20"/>
          <w:sz w:val="22"/>
          <w:szCs w:val="22"/>
        </w:rPr>
        <w:t xml:space="preserve">PRODUCT REQUIREMENTS DOCUMENT</w:t>
      </w:r>
    </w:p>
    <w:p>
      <w:pPr>
        <w:spacing w:after="260"/>
      </w:pPr>
      <w:r>
        <w:rPr>
          <w:b/>
          <w:bCs/>
          <w:color w:val="1B2437"/>
          <w:sz w:val="68"/>
          <w:szCs w:val="68"/>
        </w:rPr>
        <w:t xml:space="preserve">Taxflow.AI</w:t>
      </w:r>
    </w:p>
    <w:p>
      <w:pPr>
        <w:spacing w:after="500"/>
      </w:pPr>
      <w:r>
        <w:rPr>
          <w:i/>
          <w:iCs/>
          <w:color w:val="4A5570"/>
          <w:sz w:val="24"/>
          <w:szCs w:val="24"/>
        </w:rPr>
        <w:t xml:space="preserve">The document and deadline hub for accounting firms — collect client documents on WhatsApp, read them automatically, track every deadline, and prepare filing-ready work, without ever filing anything the firm hasn’t approved.</w:t>
      </w:r>
    </w:p>
    <w:tbl>
      <w:tblPr>
        <w:tblW w:type="pct" w:w="60%"/>
        <w:tblBorders>
          <w:top w:val="none"/>
          <w:left w:val="none"/>
          <w:bottom w:val="none"/>
          <w:right w:val="none"/>
          <w:insideH w:val="none"/>
          <w:insideV w:val="none"/>
        </w:tblBorders>
      </w:tblPr>
      <w:tblGrid>
        <w:gridCol w:w="100"/>
        <w:gridCol w:w="100"/>
      </w:tblGrid>
      <w:tr>
        <w:tc>
          <w:tcPr>
            <w:tcW w:type="dxa" w:w="2400"/>
            <w:shd w:fill="F3F6FC" w:val="clear"/>
            <w:tcMar>
              <w:top w:type="dxa" w:w="100"/>
              <w:left w:type="dxa" w:w="120"/>
              <w:bottom w:type="dxa" w:w="100"/>
              <w:right w:type="dxa" w:w="120"/>
            </w:tcMar>
            <w:vAlign w:val="top"/>
          </w:tcPr>
          <w:p>
            <w:r>
              <w:rPr>
                <w:b/>
                <w:bCs/>
                <w:color w:val="1B2437"/>
                <w:sz w:val="19"/>
                <w:szCs w:val="19"/>
              </w:rPr>
              <w:t xml:space="preserve">Version</w:t>
            </w:r>
          </w:p>
        </w:tc>
        <w:tc>
          <w:tcPr>
            <w:tcMar>
              <w:top w:type="dxa" w:w="100"/>
              <w:left w:type="dxa" w:w="120"/>
              <w:bottom w:type="dxa" w:w="100"/>
              <w:right w:type="dxa" w:w="120"/>
            </w:tcMar>
            <w:vAlign w:val="top"/>
          </w:tcPr>
          <w:p>
            <w:r>
              <w:rPr>
                <w:b w:val="false"/>
                <w:bCs w:val="false"/>
                <w:color w:val="4A5570"/>
                <w:sz w:val="19"/>
                <w:szCs w:val="19"/>
              </w:rPr>
              <w:t xml:space="preserve">1.0</w:t>
            </w:r>
          </w:p>
        </w:tc>
      </w:tr>
      <w:tr>
        <w:tc>
          <w:tcPr>
            <w:tcW w:type="dxa" w:w="2400"/>
            <w:shd w:fill="F3F6FC" w:val="clear"/>
            <w:tcMar>
              <w:top w:type="dxa" w:w="100"/>
              <w:left w:type="dxa" w:w="120"/>
              <w:bottom w:type="dxa" w:w="100"/>
              <w:right w:type="dxa" w:w="120"/>
            </w:tcMar>
            <w:vAlign w:val="top"/>
          </w:tcPr>
          <w:p>
            <w:r>
              <w:rPr>
                <w:b/>
                <w:bCs/>
                <w:color w:val="1B2437"/>
                <w:sz w:val="19"/>
                <w:szCs w:val="19"/>
              </w:rPr>
              <w:t xml:space="preserve">Date</w:t>
            </w:r>
          </w:p>
        </w:tc>
        <w:tc>
          <w:tcPr>
            <w:tcMar>
              <w:top w:type="dxa" w:w="100"/>
              <w:left w:type="dxa" w:w="120"/>
              <w:bottom w:type="dxa" w:w="100"/>
              <w:right w:type="dxa" w:w="120"/>
            </w:tcMar>
            <w:vAlign w:val="top"/>
          </w:tcPr>
          <w:p>
            <w:r>
              <w:rPr>
                <w:b w:val="false"/>
                <w:bCs w:val="false"/>
                <w:color w:val="4A5570"/>
                <w:sz w:val="19"/>
                <w:szCs w:val="19"/>
              </w:rPr>
              <w:t xml:space="preserve">20 September 2026</w:t>
            </w:r>
          </w:p>
        </w:tc>
      </w:tr>
      <w:tr>
        <w:tc>
          <w:tcPr>
            <w:tcW w:type="dxa" w:w="2400"/>
            <w:shd w:fill="F3F6FC" w:val="clear"/>
            <w:tcMar>
              <w:top w:type="dxa" w:w="100"/>
              <w:left w:type="dxa" w:w="120"/>
              <w:bottom w:type="dxa" w:w="100"/>
              <w:right w:type="dxa" w:w="120"/>
            </w:tcMar>
            <w:vAlign w:val="top"/>
          </w:tcPr>
          <w:p>
            <w:r>
              <w:rPr>
                <w:b/>
                <w:bCs/>
                <w:color w:val="1B2437"/>
                <w:sz w:val="19"/>
                <w:szCs w:val="19"/>
              </w:rPr>
              <w:t xml:space="preserve">Owner</w:t>
            </w:r>
          </w:p>
        </w:tc>
        <w:tc>
          <w:tcPr>
            <w:tcMar>
              <w:top w:type="dxa" w:w="100"/>
              <w:left w:type="dxa" w:w="120"/>
              <w:bottom w:type="dxa" w:w="100"/>
              <w:right w:type="dxa" w:w="120"/>
            </w:tcMar>
            <w:vAlign w:val="top"/>
          </w:tcPr>
          <w:p>
            <w:r>
              <w:rPr>
                <w:b w:val="false"/>
                <w:bCs w:val="false"/>
                <w:color w:val="4A5570"/>
                <w:sz w:val="19"/>
                <w:szCs w:val="19"/>
              </w:rPr>
              <w:t xml:space="preserve">Product</w:t>
            </w:r>
          </w:p>
        </w:tc>
      </w:tr>
      <w:tr>
        <w:tc>
          <w:tcPr>
            <w:tcW w:type="dxa" w:w="2400"/>
            <w:shd w:fill="F3F6FC" w:val="clear"/>
            <w:tcMar>
              <w:top w:type="dxa" w:w="100"/>
              <w:left w:type="dxa" w:w="120"/>
              <w:bottom w:type="dxa" w:w="100"/>
              <w:right w:type="dxa" w:w="120"/>
            </w:tcMar>
            <w:vAlign w:val="top"/>
          </w:tcPr>
          <w:p>
            <w:r>
              <w:rPr>
                <w:b/>
                <w:bCs/>
                <w:color w:val="1B2437"/>
                <w:sz w:val="19"/>
                <w:szCs w:val="19"/>
              </w:rPr>
              <w:t xml:space="preserve">Market</w:t>
            </w:r>
          </w:p>
        </w:tc>
        <w:tc>
          <w:tcPr>
            <w:tcMar>
              <w:top w:type="dxa" w:w="100"/>
              <w:left w:type="dxa" w:w="120"/>
              <w:bottom w:type="dxa" w:w="100"/>
              <w:right w:type="dxa" w:w="120"/>
            </w:tcMar>
            <w:vAlign w:val="top"/>
          </w:tcPr>
          <w:p>
            <w:r>
              <w:rPr>
                <w:b w:val="false"/>
                <w:bCs w:val="false"/>
                <w:color w:val="4A5570"/>
                <w:sz w:val="19"/>
                <w:szCs w:val="19"/>
              </w:rPr>
              <w:t xml:space="preserve">International accounting, bookkeeping and tax firms</w:t>
            </w:r>
          </w:p>
        </w:tc>
      </w:tr>
      <w:tr>
        <w:tc>
          <w:tcPr>
            <w:tcW w:type="dxa" w:w="2400"/>
            <w:shd w:fill="F3F6FC" w:val="clear"/>
            <w:tcMar>
              <w:top w:type="dxa" w:w="100"/>
              <w:left w:type="dxa" w:w="120"/>
              <w:bottom w:type="dxa" w:w="100"/>
              <w:right w:type="dxa" w:w="120"/>
            </w:tcMar>
            <w:vAlign w:val="top"/>
          </w:tcPr>
          <w:p>
            <w:r>
              <w:rPr>
                <w:b/>
                <w:bCs/>
                <w:color w:val="1B2437"/>
                <w:sz w:val="19"/>
                <w:szCs w:val="19"/>
              </w:rPr>
              <w:t xml:space="preserve">Status</w:t>
            </w:r>
          </w:p>
        </w:tc>
        <w:tc>
          <w:tcPr>
            <w:tcMar>
              <w:top w:type="dxa" w:w="100"/>
              <w:left w:type="dxa" w:w="120"/>
              <w:bottom w:type="dxa" w:w="100"/>
              <w:right w:type="dxa" w:w="120"/>
            </w:tcMar>
            <w:vAlign w:val="top"/>
          </w:tcPr>
          <w:p>
            <w:r>
              <w:rPr>
                <w:b w:val="false"/>
                <w:bCs w:val="false"/>
                <w:color w:val="4A5570"/>
                <w:sz w:val="19"/>
                <w:szCs w:val="19"/>
              </w:rPr>
              <w:t xml:space="preserve">Pre-build — seeking design partners</w:t>
            </w:r>
          </w:p>
        </w:tc>
      </w:tr>
    </w:tbl>
    <w:p>
      <w:r>
        <w:br w:type="page"/>
      </w:r>
    </w:p>
    <w:p>
      <w:pPr>
        <w:pStyle w:val="Heading1"/>
        <w:spacing w:after="180" w:before="420"/>
      </w:pPr>
      <w:r>
        <w:rPr>
          <w:b/>
          <w:bCs/>
          <w:color w:val="1B2437"/>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420"/>
      </w:pPr>
      <w:r>
        <w:rPr>
          <w:b/>
          <w:bCs/>
          <w:color w:val="1B2437"/>
          <w:sz w:val="30"/>
          <w:szCs w:val="30"/>
        </w:rPr>
        <w:t xml:space="preserve">1. One-page overview</w:t>
      </w:r>
    </w:p>
    <w:p>
      <w:pPr>
        <w:spacing w:after="120" w:line="276"/>
      </w:pPr>
      <w:r>
        <w:rPr>
          <w:b w:val="false"/>
          <w:bCs w:val="false"/>
          <w:i/>
          <w:iCs/>
          <w:color w:val="6B7690"/>
          <w:sz w:val="21"/>
          <w:szCs w:val="21"/>
        </w:rPr>
        <w:t xml:space="preserve">If you read nothing else in this document, read this page.</w:t>
      </w:r>
    </w:p>
    <w:p>
      <w:pPr>
        <w:pStyle w:val="Heading3"/>
        <w:spacing w:after="80" w:before="200"/>
      </w:pPr>
      <w:r>
        <w:rPr>
          <w:b/>
          <w:bCs/>
          <w:color w:val="1B2437"/>
          <w:sz w:val="21"/>
          <w:szCs w:val="21"/>
        </w:rPr>
        <w:t xml:space="preserve">What it is</w:t>
      </w:r>
    </w:p>
    <w:p>
      <w:pPr>
        <w:spacing w:after="120" w:line="276"/>
      </w:pPr>
      <w:r>
        <w:rPr>
          <w:b w:val="false"/>
          <w:bCs w:val="false"/>
          <w:i w:val="false"/>
          <w:iCs w:val="false"/>
          <w:color w:val="4A5570"/>
          <w:sz w:val="21"/>
          <w:szCs w:val="21"/>
        </w:rPr>
        <w:t xml:space="preserve">A workspace that sits on top of an accounting firm’s existing tools. Clients send documents on WhatsApp. Taxflow reads them, checks them, tracks every deadline per client, and prepares filing-ready worksheets and export files. The firm still files, using its own judgement and its existing ledger software.</w:t>
      </w:r>
    </w:p>
    <w:p>
      <w:pPr>
        <w:pStyle w:val="Heading3"/>
        <w:spacing w:after="80" w:before="200"/>
      </w:pPr>
      <w:r>
        <w:rPr>
          <w:b/>
          <w:bCs/>
          <w:color w:val="1B2437"/>
          <w:sz w:val="21"/>
          <w:szCs w:val="21"/>
        </w:rPr>
        <w:t xml:space="preserve">Who it is for</w:t>
      </w:r>
    </w:p>
    <w:p>
      <w:pPr>
        <w:spacing w:after="120" w:line="276"/>
      </w:pPr>
      <w:r>
        <w:rPr>
          <w:b w:val="false"/>
          <w:bCs w:val="false"/>
          <w:i w:val="false"/>
          <w:iCs w:val="false"/>
          <w:color w:val="4A5570"/>
          <w:sz w:val="21"/>
          <w:szCs w:val="21"/>
        </w:rPr>
        <w:t xml:space="preserve">Small and mid-size accounting, bookkeeping and tax firms (2–50 staff) serving SME clients internationally. The firm is the customer. The client is a user but never pays Taxflow directly.</w:t>
      </w:r>
    </w:p>
    <w:p>
      <w:pPr>
        <w:pStyle w:val="Heading3"/>
        <w:spacing w:after="80" w:before="200"/>
      </w:pPr>
      <w:r>
        <w:rPr>
          <w:b/>
          <w:bCs/>
          <w:color w:val="1B2437"/>
          <w:sz w:val="21"/>
          <w:szCs w:val="21"/>
        </w:rPr>
        <w:t xml:space="preserve">The core loop</w:t>
      </w:r>
    </w:p>
    <w:p>
      <w:pPr>
        <w:spacing w:after="120" w:line="276"/>
      </w:pPr>
      <w:r>
        <w:rPr>
          <w:b/>
          <w:bCs/>
          <w:color w:val="1D4ED8"/>
          <w:sz w:val="21"/>
          <w:szCs w:val="21"/>
        </w:rPr>
        <w:t xml:space="preserve">Collect</w:t>
      </w:r>
      <w:r>
        <w:rPr>
          <w:color w:val="6B7690"/>
          <w:sz w:val="21"/>
          <w:szCs w:val="21"/>
        </w:rPr>
        <w:t xml:space="preserve">  →  </w:t>
      </w:r>
      <w:r>
        <w:rPr>
          <w:b/>
          <w:bCs/>
          <w:color w:val="1D4ED8"/>
          <w:sz w:val="21"/>
          <w:szCs w:val="21"/>
        </w:rPr>
        <w:t xml:space="preserve">Read</w:t>
      </w:r>
      <w:r>
        <w:rPr>
          <w:color w:val="6B7690"/>
          <w:sz w:val="21"/>
          <w:szCs w:val="21"/>
        </w:rPr>
        <w:t xml:space="preserve">  →  </w:t>
      </w:r>
      <w:r>
        <w:rPr>
          <w:b/>
          <w:bCs/>
          <w:color w:val="1D4ED8"/>
          <w:sz w:val="21"/>
          <w:szCs w:val="21"/>
        </w:rPr>
        <w:t xml:space="preserve">Check</w:t>
      </w:r>
      <w:r>
        <w:rPr>
          <w:color w:val="6B7690"/>
          <w:sz w:val="21"/>
          <w:szCs w:val="21"/>
        </w:rPr>
        <w:t xml:space="preserve">  →  </w:t>
      </w:r>
      <w:r>
        <w:rPr>
          <w:b/>
          <w:bCs/>
          <w:color w:val="1D4ED8"/>
          <w:sz w:val="21"/>
          <w:szCs w:val="21"/>
        </w:rPr>
        <w:t xml:space="preserve">Track</w:t>
      </w:r>
      <w:r>
        <w:rPr>
          <w:color w:val="6B7690"/>
          <w:sz w:val="21"/>
          <w:szCs w:val="21"/>
        </w:rPr>
        <w:t xml:space="preserve">  →  </w:t>
      </w:r>
      <w:r>
        <w:rPr>
          <w:b/>
          <w:bCs/>
          <w:color w:val="1D4ED8"/>
          <w:sz w:val="21"/>
          <w:szCs w:val="21"/>
        </w:rPr>
        <w:t xml:space="preserve">Prepare</w:t>
      </w:r>
      <w:r>
        <w:rPr>
          <w:color w:val="6B7690"/>
          <w:sz w:val="21"/>
          <w:szCs w:val="21"/>
        </w:rPr>
        <w:t xml:space="preserve">  →  </w:t>
      </w:r>
      <w:r>
        <w:rPr>
          <w:b/>
          <w:bCs/>
          <w:color w:val="1D4ED8"/>
          <w:sz w:val="21"/>
          <w:szCs w:val="21"/>
        </w:rPr>
        <w:t xml:space="preserve">Export</w:t>
      </w:r>
    </w:p>
    <w:p>
      <w:pPr>
        <w:spacing w:after="120" w:line="276"/>
      </w:pPr>
      <w:r>
        <w:rPr>
          <w:b w:val="false"/>
          <w:bCs w:val="false"/>
          <w:i w:val="false"/>
          <w:iCs w:val="false"/>
          <w:color w:val="4A5570"/>
          <w:sz w:val="21"/>
          <w:szCs w:val="21"/>
        </w:rPr>
        <w:t xml:space="preserve">Every feature in this document exists to make one of these six steps faster, cheaper or more accurate.</w:t>
      </w:r>
    </w:p>
    <w:p>
      <w:pPr>
        <w:pStyle w:val="Heading3"/>
        <w:spacing w:after="80" w:before="200"/>
      </w:pPr>
      <w:r>
        <w:rPr>
          <w:b/>
          <w:bCs/>
          <w:color w:val="1B2437"/>
          <w:sz w:val="21"/>
          <w:szCs w:val="21"/>
        </w:rPr>
        <w:t xml:space="preserve">Why now</w:t>
      </w:r>
    </w:p>
    <w:p>
      <w:pPr>
        <w:spacing w:after="120" w:line="276"/>
      </w:pPr>
      <w:r>
        <w:rPr>
          <w:b w:val="false"/>
          <w:bCs w:val="false"/>
          <w:i w:val="false"/>
          <w:iCs w:val="false"/>
          <w:color w:val="4A5570"/>
          <w:sz w:val="21"/>
          <w:szCs w:val="21"/>
        </w:rPr>
        <w:t xml:space="preserve">Governments everywhere are digitising tax filing (structured e-invoicing, quarterly digital reporting, JSON and XML returns), which raises the amount of clean, structured data a firm must produce. At the same time, clients overwhelmingly prefer sending a photo on WhatsApp to logging into a portal. That gap between how clients behave and what regulators now require is the product opportunity.</w:t>
      </w:r>
    </w:p>
    <w:p>
      <w:pPr>
        <w:spacing w:after="120"/>
      </w:pPr>
    </w:p>
    <w:tbl>
      <w:tblPr>
        <w:tblW w:type="pct" w:w="100%"/>
        <w:tblBorders>
          <w:top w:val="single" w:color="1D4ED8" w:sz="4"/>
          <w:left w:val="single" w:color="1D4ED8" w:sz="20"/>
          <w:bottom w:val="single" w:color="1D4ED8" w:sz="4"/>
          <w:right w:val="single" w:color="1D4ED8" w:sz="4"/>
          <w:insideH w:val="none"/>
          <w:insideV w:val="none"/>
        </w:tblBorders>
      </w:tblPr>
      <w:tblGrid>
        <w:gridCol w:w="100"/>
      </w:tblGrid>
      <w:tr>
        <w:tc>
          <w:tcPr>
            <w:shd w:fill="EAF1FF" w:val="clear"/>
            <w:tcMar>
              <w:top w:type="dxa" w:w="160"/>
              <w:left w:type="dxa" w:w="220"/>
              <w:bottom w:type="dxa" w:w="160"/>
              <w:right w:type="dxa" w:w="220"/>
            </w:tcMar>
          </w:tcPr>
          <w:p>
            <w:pPr>
              <w:spacing w:after="40"/>
            </w:pPr>
            <w:r>
              <w:rPr>
                <w:b/>
                <w:bCs/>
                <w:color w:val="1D4ED8"/>
                <w:sz w:val="20"/>
                <w:szCs w:val="20"/>
              </w:rPr>
              <w:t xml:space="preserve">NORTH STAR</w:t>
            </w:r>
          </w:p>
          <w:p>
            <w:pPr>
              <w:spacing w:after="0"/>
            </w:pPr>
            <w:r>
              <w:rPr>
                <w:color w:val="1B2437"/>
                <w:sz w:val="20"/>
                <w:szCs w:val="20"/>
              </w:rPr>
              <w:t xml:space="preserve">The number of client documents collected, read and approved per firm per month, without the accountant manually retyping anything.</w:t>
            </w:r>
          </w:p>
        </w:tc>
      </w:tr>
    </w:tbl>
    <w:p>
      <w:pPr>
        <w:pStyle w:val="Heading1"/>
        <w:spacing w:after="180" w:before="420"/>
      </w:pPr>
      <w:r>
        <w:rPr>
          <w:b/>
          <w:bCs/>
          <w:color w:val="1B2437"/>
          <w:sz w:val="30"/>
          <w:szCs w:val="30"/>
        </w:rPr>
        <w:t xml:space="preserve">2. The problem, in detail</w:t>
      </w:r>
    </w:p>
    <w:p>
      <w:pPr>
        <w:spacing w:after="120" w:line="276"/>
      </w:pPr>
      <w:r>
        <w:rPr>
          <w:b w:val="false"/>
          <w:bCs w:val="false"/>
          <w:i/>
          <w:iCs/>
          <w:color w:val="6B7690"/>
          <w:sz w:val="21"/>
          <w:szCs w:val="21"/>
        </w:rPr>
        <w:t xml:space="preserve">Five compounding problems, not one.</w:t>
      </w:r>
    </w:p>
    <w:p>
      <w:pPr>
        <w:pStyle w:val="Heading3"/>
        <w:spacing w:after="80" w:before="200"/>
      </w:pPr>
      <w:r>
        <w:rPr>
          <w:b/>
          <w:bCs/>
          <w:color w:val="1B2437"/>
          <w:sz w:val="21"/>
          <w:szCs w:val="21"/>
        </w:rPr>
        <w:t xml:space="preserve">1. Document chasing is unpaid, invisible labour</w:t>
      </w:r>
    </w:p>
    <w:p>
      <w:pPr>
        <w:spacing w:after="120" w:line="276"/>
      </w:pPr>
      <w:r>
        <w:rPr>
          <w:b w:val="false"/>
          <w:bCs w:val="false"/>
          <w:i w:val="false"/>
          <w:iCs w:val="false"/>
          <w:color w:val="4A5570"/>
          <w:sz w:val="21"/>
          <w:szCs w:val="21"/>
        </w:rPr>
        <w:t xml:space="preserve">An accountant doesn’t bill for the hour spent messaging twelve clients asking for August invoices. It’s overhead that scales with client count, so it caps how many clients a small firm can serve.</w:t>
      </w:r>
    </w:p>
    <w:p>
      <w:pPr>
        <w:pStyle w:val="Heading3"/>
        <w:spacing w:after="80" w:before="200"/>
      </w:pPr>
      <w:r>
        <w:rPr>
          <w:b/>
          <w:bCs/>
          <w:color w:val="1B2437"/>
          <w:sz w:val="21"/>
          <w:szCs w:val="21"/>
        </w:rPr>
        <w:t xml:space="preserve">2. Manual data entry is slow and error-prone</w:t>
      </w:r>
    </w:p>
    <w:p>
      <w:pPr>
        <w:spacing w:after="120" w:line="276"/>
      </w:pPr>
      <w:r>
        <w:rPr>
          <w:b w:val="false"/>
          <w:bCs w:val="false"/>
          <w:i w:val="false"/>
          <w:iCs w:val="false"/>
          <w:color w:val="4A5570"/>
          <w:sz w:val="21"/>
          <w:szCs w:val="21"/>
        </w:rPr>
        <w:t xml:space="preserve">Retyping a bill into a ledger takes minutes and introduces typos. Manual invoice processing is commonly cited as costing several times more than automated processing.</w:t>
      </w:r>
    </w:p>
    <w:p>
      <w:pPr>
        <w:pStyle w:val="Heading3"/>
        <w:spacing w:after="80" w:before="200"/>
      </w:pPr>
      <w:r>
        <w:rPr>
          <w:b/>
          <w:bCs/>
          <w:color w:val="1B2437"/>
          <w:sz w:val="21"/>
          <w:szCs w:val="21"/>
        </w:rPr>
        <w:t xml:space="preserve">3. Deadlines live in someone’s head</w:t>
      </w:r>
    </w:p>
    <w:p>
      <w:pPr>
        <w:spacing w:after="120" w:line="276"/>
      </w:pPr>
      <w:r>
        <w:rPr>
          <w:b w:val="false"/>
          <w:bCs w:val="false"/>
          <w:i w:val="false"/>
          <w:iCs w:val="false"/>
          <w:color w:val="4A5570"/>
          <w:sz w:val="21"/>
          <w:szCs w:val="21"/>
        </w:rPr>
        <w:t xml:space="preserve">Multiplied across dozens of clients and several filing types (VAT/GST, income tax, payroll, company filings), tracking is usually a spreadsheet, a WhatsApp group and a diary — three sources of truth that disagree.</w:t>
      </w:r>
    </w:p>
    <w:p>
      <w:pPr>
        <w:pStyle w:val="Heading3"/>
        <w:spacing w:after="80" w:before="200"/>
      </w:pPr>
      <w:r>
        <w:rPr>
          <w:b/>
          <w:bCs/>
          <w:color w:val="1B2437"/>
          <w:sz w:val="21"/>
          <w:szCs w:val="21"/>
        </w:rPr>
        <w:t xml:space="preserve">4. Evidence is scattered</w:t>
      </w:r>
    </w:p>
    <w:p>
      <w:pPr>
        <w:spacing w:after="120" w:line="276"/>
      </w:pPr>
      <w:r>
        <w:rPr>
          <w:b w:val="false"/>
          <w:bCs w:val="false"/>
          <w:i w:val="false"/>
          <w:iCs w:val="false"/>
          <w:color w:val="4A5570"/>
          <w:sz w:val="21"/>
          <w:szCs w:val="21"/>
        </w:rPr>
        <w:t xml:space="preserve">When a number in a tax return is questioned, the accountant needs to find the source document fast. Today that means searching email, WhatsApp and shared drives.</w:t>
      </w:r>
    </w:p>
    <w:p>
      <w:pPr>
        <w:pStyle w:val="Heading3"/>
        <w:spacing w:after="80" w:before="200"/>
      </w:pPr>
      <w:r>
        <w:rPr>
          <w:b/>
          <w:bCs/>
          <w:color w:val="1B2437"/>
          <w:sz w:val="21"/>
          <w:szCs w:val="21"/>
        </w:rPr>
        <w:t xml:space="preserve">5. Regulators are raising the bar</w:t>
      </w:r>
    </w:p>
    <w:p>
      <w:pPr>
        <w:spacing w:after="120" w:line="276"/>
      </w:pPr>
      <w:r>
        <w:rPr>
          <w:b w:val="false"/>
          <w:bCs w:val="false"/>
          <w:i w:val="false"/>
          <w:iCs w:val="false"/>
          <w:color w:val="4A5570"/>
          <w:sz w:val="21"/>
          <w:szCs w:val="21"/>
        </w:rPr>
        <w:t xml:space="preserve">Structured e-invoicing, quarterly digital reporting and JSON/XML filing formats mean "a PDF in an email" is no longer good enough in a growing number of countries.</w:t>
      </w:r>
    </w:p>
    <w:p>
      <w:pPr>
        <w:spacing w:after="120"/>
      </w:pPr>
    </w:p>
    <w:p>
      <w:pPr>
        <w:spacing w:after="120" w:line="276"/>
      </w:pPr>
      <w:r>
        <w:rPr>
          <w:b/>
          <w:bCs/>
          <w:i w:val="false"/>
          <w:iCs w:val="false"/>
          <w:color w:val="1B2437"/>
          <w:sz w:val="21"/>
          <w:szCs w:val="21"/>
        </w:rPr>
        <w:t xml:space="preserve">None of these problems are solved by buying a better ledger. Zoho Books, QuickBooks, Xero and Tally all record transactions well. What they don’t do is get the client to send the invoice in the first place, read it without a human typing, or tell the firm which of 80 clients is falling behind this week. That gap is Taxflow’s entire reason to exist.</w:t>
      </w:r>
    </w:p>
    <w:p>
      <w:pPr>
        <w:pStyle w:val="Heading1"/>
        <w:spacing w:after="180" w:before="420"/>
      </w:pPr>
      <w:r>
        <w:rPr>
          <w:b/>
          <w:bCs/>
          <w:color w:val="1B2437"/>
          <w:sz w:val="30"/>
          <w:szCs w:val="30"/>
        </w:rPr>
        <w:t xml:space="preserve">3. Vision and goals</w:t>
      </w:r>
    </w:p>
    <w:p>
      <w:pPr>
        <w:pStyle w:val="Heading3"/>
        <w:spacing w:after="80" w:before="200"/>
      </w:pPr>
      <w:r>
        <w:rPr>
          <w:b/>
          <w:bCs/>
          <w:color w:val="1B2437"/>
          <w:sz w:val="21"/>
          <w:szCs w:val="21"/>
        </w:rPr>
        <w:t xml:space="preserve">Vision (3 years)</w:t>
      </w:r>
    </w:p>
    <w:p>
      <w:pPr>
        <w:spacing w:after="120" w:line="276"/>
      </w:pPr>
      <w:r>
        <w:rPr>
          <w:b w:val="false"/>
          <w:bCs w:val="false"/>
          <w:i w:val="false"/>
          <w:iCs w:val="false"/>
          <w:color w:val="4A5570"/>
          <w:sz w:val="21"/>
          <w:szCs w:val="21"/>
        </w:rPr>
        <w:t xml:space="preserve">Every accounting firm’s client relationship runs through one calm, WhatsApp-native workspace: the firm never chases a document twice, never misses a deadline, and never retypes a number that a machine could read correctly the first time.</w:t>
      </w:r>
    </w:p>
    <w:p>
      <w:pPr>
        <w:pStyle w:val="Heading3"/>
        <w:spacing w:after="80" w:before="200"/>
      </w:pPr>
      <w:r>
        <w:rPr>
          <w:b/>
          <w:bCs/>
          <w:color w:val="1B2437"/>
          <w:sz w:val="21"/>
          <w:szCs w:val="21"/>
        </w:rPr>
        <w:t xml:space="preserve">Mission (this document)</w:t>
      </w:r>
    </w:p>
    <w:p>
      <w:pPr>
        <w:spacing w:after="120" w:line="276"/>
      </w:pPr>
      <w:r>
        <w:rPr>
          <w:b w:val="false"/>
          <w:bCs w:val="false"/>
          <w:i w:val="false"/>
          <w:iCs w:val="false"/>
          <w:color w:val="4A5570"/>
          <w:sz w:val="21"/>
          <w:szCs w:val="21"/>
        </w:rPr>
        <w:t xml:space="preserve">Ship a product that removes at least half the time a firm spends collecting and entering client documents, without ever filing anything the firm hasn’t approved.</w:t>
      </w:r>
    </w:p>
    <w:p>
      <w:pPr>
        <w:pStyle w:val="Heading3"/>
        <w:spacing w:after="80" w:before="200"/>
      </w:pPr>
      <w:r>
        <w:rPr>
          <w:b/>
          <w:bCs/>
          <w:color w:val="1B2437"/>
          <w:sz w:val="21"/>
          <w:szCs w:val="21"/>
        </w:rPr>
        <w:t xml:space="preserve">Goals and non-goals</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4600"/>
        <w:gridCol w:w="46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We will</w:t>
            </w:r>
          </w:p>
        </w:tc>
        <w:tc>
          <w:tcPr>
            <w:shd w:fill="F3F6FC" w:val="clear"/>
            <w:tcMar>
              <w:top w:type="dxa" w:w="100"/>
              <w:left w:type="dxa" w:w="120"/>
              <w:bottom w:type="dxa" w:w="100"/>
              <w:right w:type="dxa" w:w="120"/>
            </w:tcMar>
            <w:vAlign w:val="top"/>
          </w:tcPr>
          <w:p>
            <w:r>
              <w:rPr>
                <w:b/>
                <w:bCs/>
                <w:color w:val="1B2437"/>
                <w:sz w:val="19"/>
                <w:szCs w:val="19"/>
              </w:rPr>
              <w:t xml:space="preserve">We will not</w:t>
            </w:r>
          </w:p>
        </w:tc>
      </w:tr>
      <w:tr>
        <w:tc>
          <w:tcPr>
            <w:tcMar>
              <w:top w:type="dxa" w:w="100"/>
              <w:left w:type="dxa" w:w="120"/>
              <w:bottom w:type="dxa" w:w="100"/>
              <w:right w:type="dxa" w:w="120"/>
            </w:tcMar>
            <w:vAlign w:val="top"/>
          </w:tcPr>
          <w:p>
            <w:r>
              <w:rPr>
                <w:b w:val="false"/>
                <w:bCs w:val="false"/>
                <w:color w:val="4A5570"/>
                <w:sz w:val="19"/>
                <w:szCs w:val="19"/>
              </w:rPr>
              <w:t xml:space="preserve">Automate collection, reading, checking and tracking</w:t>
            </w:r>
          </w:p>
        </w:tc>
        <w:tc>
          <w:tcPr>
            <w:tcMar>
              <w:top w:type="dxa" w:w="100"/>
              <w:left w:type="dxa" w:w="120"/>
              <w:bottom w:type="dxa" w:w="100"/>
              <w:right w:type="dxa" w:w="120"/>
            </w:tcMar>
            <w:vAlign w:val="top"/>
          </w:tcPr>
          <w:p>
            <w:r>
              <w:rPr>
                <w:b w:val="false"/>
                <w:bCs w:val="false"/>
                <w:color w:val="4A5570"/>
                <w:sz w:val="19"/>
                <w:szCs w:val="19"/>
              </w:rPr>
              <w:t xml:space="preserve">Replace the firm’s accounting ledger</w:t>
            </w:r>
          </w:p>
        </w:tc>
      </w:tr>
      <w:tr>
        <w:tc>
          <w:tcPr>
            <w:tcMar>
              <w:top w:type="dxa" w:w="100"/>
              <w:left w:type="dxa" w:w="120"/>
              <w:bottom w:type="dxa" w:w="100"/>
              <w:right w:type="dxa" w:w="120"/>
            </w:tcMar>
            <w:vAlign w:val="top"/>
          </w:tcPr>
          <w:p>
            <w:r>
              <w:rPr>
                <w:b w:val="false"/>
                <w:bCs w:val="false"/>
                <w:color w:val="4A5570"/>
                <w:sz w:val="19"/>
                <w:szCs w:val="19"/>
              </w:rPr>
              <w:t xml:space="preserve">Produce filing-ready worksheets and export files</w:t>
            </w:r>
          </w:p>
        </w:tc>
        <w:tc>
          <w:tcPr>
            <w:tcMar>
              <w:top w:type="dxa" w:w="100"/>
              <w:left w:type="dxa" w:w="120"/>
              <w:bottom w:type="dxa" w:w="100"/>
              <w:right w:type="dxa" w:w="120"/>
            </w:tcMar>
            <w:vAlign w:val="top"/>
          </w:tcPr>
          <w:p>
            <w:r>
              <w:rPr>
                <w:b w:val="false"/>
                <w:bCs w:val="false"/>
                <w:color w:val="4A5570"/>
                <w:sz w:val="19"/>
                <w:szCs w:val="19"/>
              </w:rPr>
              <w:t xml:space="preserve">Submit anything to a tax authority ourselves</w:t>
            </w:r>
          </w:p>
        </w:tc>
      </w:tr>
      <w:tr>
        <w:tc>
          <w:tcPr>
            <w:tcMar>
              <w:top w:type="dxa" w:w="100"/>
              <w:left w:type="dxa" w:w="120"/>
              <w:bottom w:type="dxa" w:w="100"/>
              <w:right w:type="dxa" w:w="120"/>
            </w:tcMar>
            <w:vAlign w:val="top"/>
          </w:tcPr>
          <w:p>
            <w:r>
              <w:rPr>
                <w:b w:val="false"/>
                <w:bCs w:val="false"/>
                <w:color w:val="4A5570"/>
                <w:sz w:val="19"/>
                <w:szCs w:val="19"/>
              </w:rPr>
              <w:t xml:space="preserve">Keep a human in the loop for every approval</w:t>
            </w:r>
          </w:p>
        </w:tc>
        <w:tc>
          <w:tcPr>
            <w:tcMar>
              <w:top w:type="dxa" w:w="100"/>
              <w:left w:type="dxa" w:w="120"/>
              <w:bottom w:type="dxa" w:w="100"/>
              <w:right w:type="dxa" w:w="120"/>
            </w:tcMar>
            <w:vAlign w:val="top"/>
          </w:tcPr>
          <w:p>
            <w:r>
              <w:rPr>
                <w:b w:val="false"/>
                <w:bCs w:val="false"/>
                <w:color w:val="4A5570"/>
                <w:sz w:val="19"/>
                <w:szCs w:val="19"/>
              </w:rPr>
              <w:t xml:space="preserve">Auto-approve or auto-file based on confidence scores</w:t>
            </w:r>
          </w:p>
        </w:tc>
      </w:tr>
      <w:tr>
        <w:tc>
          <w:tcPr>
            <w:tcMar>
              <w:top w:type="dxa" w:w="100"/>
              <w:left w:type="dxa" w:w="120"/>
              <w:bottom w:type="dxa" w:w="100"/>
              <w:right w:type="dxa" w:w="120"/>
            </w:tcMar>
            <w:vAlign w:val="top"/>
          </w:tcPr>
          <w:p>
            <w:r>
              <w:rPr>
                <w:b w:val="false"/>
                <w:bCs w:val="false"/>
                <w:color w:val="4A5570"/>
                <w:sz w:val="19"/>
                <w:szCs w:val="19"/>
              </w:rPr>
              <w:t xml:space="preserve">Sell to the firm</w:t>
            </w:r>
          </w:p>
        </w:tc>
        <w:tc>
          <w:tcPr>
            <w:tcMar>
              <w:top w:type="dxa" w:w="100"/>
              <w:left w:type="dxa" w:w="120"/>
              <w:bottom w:type="dxa" w:w="100"/>
              <w:right w:type="dxa" w:w="120"/>
            </w:tcMar>
            <w:vAlign w:val="top"/>
          </w:tcPr>
          <w:p>
            <w:r>
              <w:rPr>
                <w:b w:val="false"/>
                <w:bCs w:val="false"/>
                <w:color w:val="4A5570"/>
                <w:sz w:val="19"/>
                <w:szCs w:val="19"/>
              </w:rPr>
              <w:t xml:space="preserve">Sell directly to the firm’s end clients</w:t>
            </w:r>
          </w:p>
        </w:tc>
      </w:tr>
      <w:tr>
        <w:tc>
          <w:tcPr>
            <w:tcMar>
              <w:top w:type="dxa" w:w="100"/>
              <w:left w:type="dxa" w:w="120"/>
              <w:bottom w:type="dxa" w:w="100"/>
              <w:right w:type="dxa" w:w="120"/>
            </w:tcMar>
            <w:vAlign w:val="top"/>
          </w:tcPr>
          <w:p>
            <w:r>
              <w:rPr>
                <w:b w:val="false"/>
                <w:bCs w:val="false"/>
                <w:color w:val="4A5570"/>
                <w:sz w:val="19"/>
                <w:szCs w:val="19"/>
              </w:rPr>
              <w:t xml:space="preserve">Integrate with existing ledgers</w:t>
            </w:r>
          </w:p>
        </w:tc>
        <w:tc>
          <w:tcPr>
            <w:tcMar>
              <w:top w:type="dxa" w:w="100"/>
              <w:left w:type="dxa" w:w="120"/>
              <w:bottom w:type="dxa" w:w="100"/>
              <w:right w:type="dxa" w:w="120"/>
            </w:tcMar>
            <w:vAlign w:val="top"/>
          </w:tcPr>
          <w:p>
            <w:r>
              <w:rPr>
                <w:b w:val="false"/>
                <w:bCs w:val="false"/>
                <w:color w:val="4A5570"/>
                <w:sz w:val="19"/>
                <w:szCs w:val="19"/>
              </w:rPr>
              <w:t xml:space="preserve">Force firms to migrate off their current system</w:t>
            </w:r>
          </w:p>
        </w:tc>
      </w:tr>
    </w:tbl>
    <w:p>
      <w:pPr>
        <w:pStyle w:val="Heading1"/>
        <w:spacing w:after="180" w:before="420"/>
      </w:pPr>
      <w:r>
        <w:rPr>
          <w:b/>
          <w:bCs/>
          <w:color w:val="1B2437"/>
          <w:sz w:val="30"/>
          <w:szCs w:val="30"/>
        </w:rPr>
        <w:t xml:space="preserve">4. Personas</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2200"/>
        <w:gridCol w:w="2100"/>
        <w:gridCol w:w="2400"/>
        <w:gridCol w:w="25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Persona</w:t>
            </w:r>
          </w:p>
        </w:tc>
        <w:tc>
          <w:tcPr>
            <w:shd w:fill="F3F6FC" w:val="clear"/>
            <w:tcMar>
              <w:top w:type="dxa" w:w="100"/>
              <w:left w:type="dxa" w:w="120"/>
              <w:bottom w:type="dxa" w:w="100"/>
              <w:right w:type="dxa" w:w="120"/>
            </w:tcMar>
            <w:vAlign w:val="top"/>
          </w:tcPr>
          <w:p>
            <w:r>
              <w:rPr>
                <w:b/>
                <w:bCs/>
                <w:color w:val="1B2437"/>
                <w:sz w:val="19"/>
                <w:szCs w:val="19"/>
              </w:rPr>
              <w:t xml:space="preserve">Goal</w:t>
            </w:r>
          </w:p>
        </w:tc>
        <w:tc>
          <w:tcPr>
            <w:shd w:fill="F3F6FC" w:val="clear"/>
            <w:tcMar>
              <w:top w:type="dxa" w:w="100"/>
              <w:left w:type="dxa" w:w="120"/>
              <w:bottom w:type="dxa" w:w="100"/>
              <w:right w:type="dxa" w:w="120"/>
            </w:tcMar>
            <w:vAlign w:val="top"/>
          </w:tcPr>
          <w:p>
            <w:r>
              <w:rPr>
                <w:b/>
                <w:bCs/>
                <w:color w:val="1B2437"/>
                <w:sz w:val="19"/>
                <w:szCs w:val="19"/>
              </w:rPr>
              <w:t xml:space="preserve">Pain</w:t>
            </w:r>
          </w:p>
        </w:tc>
        <w:tc>
          <w:tcPr>
            <w:shd w:fill="F3F6FC" w:val="clear"/>
            <w:tcMar>
              <w:top w:type="dxa" w:w="100"/>
              <w:left w:type="dxa" w:w="120"/>
              <w:bottom w:type="dxa" w:w="100"/>
              <w:right w:type="dxa" w:w="120"/>
            </w:tcMar>
            <w:vAlign w:val="top"/>
          </w:tcPr>
          <w:p>
            <w:r>
              <w:rPr>
                <w:b/>
                <w:bCs/>
                <w:color w:val="1B2437"/>
                <w:sz w:val="19"/>
                <w:szCs w:val="19"/>
              </w:rPr>
              <w:t xml:space="preserve">Success looks like</w:t>
            </w:r>
          </w:p>
        </w:tc>
      </w:tr>
      <w:tr>
        <w:tc>
          <w:tcPr>
            <w:tcMar>
              <w:top w:type="dxa" w:w="100"/>
              <w:left w:type="dxa" w:w="120"/>
              <w:bottom w:type="dxa" w:w="100"/>
              <w:right w:type="dxa" w:w="120"/>
            </w:tcMar>
            <w:vAlign w:val="top"/>
          </w:tcPr>
          <w:p>
            <w:r>
              <w:rPr>
                <w:b w:val="false"/>
                <w:bCs w:val="false"/>
                <w:color w:val="4A5570"/>
                <w:sz w:val="19"/>
                <w:szCs w:val="19"/>
              </w:rPr>
              <w:t xml:space="preserve">Firm owner / partner</w:t>
            </w:r>
          </w:p>
        </w:tc>
        <w:tc>
          <w:tcPr>
            <w:tcMar>
              <w:top w:type="dxa" w:w="100"/>
              <w:left w:type="dxa" w:w="120"/>
              <w:bottom w:type="dxa" w:w="100"/>
              <w:right w:type="dxa" w:w="120"/>
            </w:tcMar>
            <w:vAlign w:val="top"/>
          </w:tcPr>
          <w:p>
            <w:r>
              <w:rPr>
                <w:b w:val="false"/>
                <w:bCs w:val="false"/>
                <w:color w:val="4A5570"/>
                <w:sz w:val="19"/>
                <w:szCs w:val="19"/>
              </w:rPr>
              <w:t xml:space="preserve">Grow client count without growing headcount at the same rate.</w:t>
            </w:r>
          </w:p>
        </w:tc>
        <w:tc>
          <w:tcPr>
            <w:tcMar>
              <w:top w:type="dxa" w:w="100"/>
              <w:left w:type="dxa" w:w="120"/>
              <w:bottom w:type="dxa" w:w="100"/>
              <w:right w:type="dxa" w:w="120"/>
            </w:tcMar>
            <w:vAlign w:val="top"/>
          </w:tcPr>
          <w:p>
            <w:r>
              <w:rPr>
                <w:b w:val="false"/>
                <w:bCs w:val="false"/>
                <w:color w:val="4A5570"/>
                <w:sz w:val="19"/>
                <w:szCs w:val="19"/>
              </w:rPr>
              <w:t xml:space="preserve">Can’t tell which clients are behind until it’s almost too late.</w:t>
            </w:r>
          </w:p>
        </w:tc>
        <w:tc>
          <w:tcPr>
            <w:tcMar>
              <w:top w:type="dxa" w:w="100"/>
              <w:left w:type="dxa" w:w="120"/>
              <w:bottom w:type="dxa" w:w="100"/>
              <w:right w:type="dxa" w:w="120"/>
            </w:tcMar>
            <w:vAlign w:val="top"/>
          </w:tcPr>
          <w:p>
            <w:r>
              <w:rPr>
                <w:b w:val="false"/>
                <w:bCs w:val="false"/>
                <w:color w:val="4A5570"/>
                <w:sz w:val="19"/>
                <w:szCs w:val="19"/>
              </w:rPr>
              <w:t xml:space="preserve">A dashboard that shows risk across the whole book in one glance.</w:t>
            </w:r>
          </w:p>
        </w:tc>
      </w:tr>
      <w:tr>
        <w:tc>
          <w:tcPr>
            <w:tcMar>
              <w:top w:type="dxa" w:w="100"/>
              <w:left w:type="dxa" w:w="120"/>
              <w:bottom w:type="dxa" w:w="100"/>
              <w:right w:type="dxa" w:w="120"/>
            </w:tcMar>
            <w:vAlign w:val="top"/>
          </w:tcPr>
          <w:p>
            <w:r>
              <w:rPr>
                <w:b w:val="false"/>
                <w:bCs w:val="false"/>
                <w:color w:val="4A5570"/>
                <w:sz w:val="19"/>
                <w:szCs w:val="19"/>
              </w:rPr>
              <w:t xml:space="preserve">Senior accountant / bookkeeper</w:t>
            </w:r>
          </w:p>
        </w:tc>
        <w:tc>
          <w:tcPr>
            <w:tcMar>
              <w:top w:type="dxa" w:w="100"/>
              <w:left w:type="dxa" w:w="120"/>
              <w:bottom w:type="dxa" w:w="100"/>
              <w:right w:type="dxa" w:w="120"/>
            </w:tcMar>
            <w:vAlign w:val="top"/>
          </w:tcPr>
          <w:p>
            <w:r>
              <w:rPr>
                <w:b w:val="false"/>
                <w:bCs w:val="false"/>
                <w:color w:val="4A5570"/>
                <w:sz w:val="19"/>
                <w:szCs w:val="19"/>
              </w:rPr>
              <w:t xml:space="preserve">Spend time reviewing and advising, not typing.</w:t>
            </w:r>
          </w:p>
        </w:tc>
        <w:tc>
          <w:tcPr>
            <w:tcMar>
              <w:top w:type="dxa" w:w="100"/>
              <w:left w:type="dxa" w:w="120"/>
              <w:bottom w:type="dxa" w:w="100"/>
              <w:right w:type="dxa" w:w="120"/>
            </w:tcMar>
            <w:vAlign w:val="top"/>
          </w:tcPr>
          <w:p>
            <w:r>
              <w:rPr>
                <w:b w:val="false"/>
                <w:bCs w:val="false"/>
                <w:color w:val="4A5570"/>
                <w:sz w:val="19"/>
                <w:szCs w:val="19"/>
              </w:rPr>
              <w:t xml:space="preserve">Unreadable photos, duplicate invoices, unclear tax treatment.</w:t>
            </w:r>
          </w:p>
        </w:tc>
        <w:tc>
          <w:tcPr>
            <w:tcMar>
              <w:top w:type="dxa" w:w="100"/>
              <w:left w:type="dxa" w:w="120"/>
              <w:bottom w:type="dxa" w:w="100"/>
              <w:right w:type="dxa" w:w="120"/>
            </w:tcMar>
            <w:vAlign w:val="top"/>
          </w:tcPr>
          <w:p>
            <w:r>
              <w:rPr>
                <w:b w:val="false"/>
                <w:bCs w:val="false"/>
                <w:color w:val="4A5570"/>
                <w:sz w:val="19"/>
                <w:szCs w:val="19"/>
              </w:rPr>
              <w:t xml:space="preserve">A review queue that’s faster than typing from scratch.</w:t>
            </w:r>
          </w:p>
        </w:tc>
      </w:tr>
      <w:tr>
        <w:tc>
          <w:tcPr>
            <w:tcMar>
              <w:top w:type="dxa" w:w="100"/>
              <w:left w:type="dxa" w:w="120"/>
              <w:bottom w:type="dxa" w:w="100"/>
              <w:right w:type="dxa" w:w="120"/>
            </w:tcMar>
            <w:vAlign w:val="top"/>
          </w:tcPr>
          <w:p>
            <w:r>
              <w:rPr>
                <w:b w:val="false"/>
                <w:bCs w:val="false"/>
                <w:color w:val="4A5570"/>
                <w:sz w:val="19"/>
                <w:szCs w:val="19"/>
              </w:rPr>
              <w:t xml:space="preserve">Junior staff / articled clerk</w:t>
            </w:r>
          </w:p>
        </w:tc>
        <w:tc>
          <w:tcPr>
            <w:tcMar>
              <w:top w:type="dxa" w:w="100"/>
              <w:left w:type="dxa" w:w="120"/>
              <w:bottom w:type="dxa" w:w="100"/>
              <w:right w:type="dxa" w:w="120"/>
            </w:tcMar>
            <w:vAlign w:val="top"/>
          </w:tcPr>
          <w:p>
            <w:r>
              <w:rPr>
                <w:b w:val="false"/>
                <w:bCs w:val="false"/>
                <w:color w:val="4A5570"/>
                <w:sz w:val="19"/>
                <w:szCs w:val="19"/>
              </w:rPr>
              <w:t xml:space="preserve">Get through the checklist without asking a senior every time.</w:t>
            </w:r>
          </w:p>
        </w:tc>
        <w:tc>
          <w:tcPr>
            <w:tcMar>
              <w:top w:type="dxa" w:w="100"/>
              <w:left w:type="dxa" w:w="120"/>
              <w:bottom w:type="dxa" w:w="100"/>
              <w:right w:type="dxa" w:w="120"/>
            </w:tcMar>
            <w:vAlign w:val="top"/>
          </w:tcPr>
          <w:p>
            <w:r>
              <w:rPr>
                <w:b w:val="false"/>
                <w:bCs w:val="false"/>
                <w:color w:val="4A5570"/>
                <w:sz w:val="19"/>
                <w:szCs w:val="19"/>
              </w:rPr>
              <w:t xml:space="preserve">No clear view of what’s outstanding per client.</w:t>
            </w:r>
          </w:p>
        </w:tc>
        <w:tc>
          <w:tcPr>
            <w:tcMar>
              <w:top w:type="dxa" w:w="100"/>
              <w:left w:type="dxa" w:w="120"/>
              <w:bottom w:type="dxa" w:w="100"/>
              <w:right w:type="dxa" w:w="120"/>
            </w:tcMar>
            <w:vAlign w:val="top"/>
          </w:tcPr>
          <w:p>
            <w:r>
              <w:rPr>
                <w:b w:val="false"/>
                <w:bCs w:val="false"/>
                <w:color w:val="4A5570"/>
                <w:sz w:val="19"/>
                <w:szCs w:val="19"/>
              </w:rPr>
              <w:t xml:space="preserve">A per-client checklist and progress bar that shows exactly what’s left.</w:t>
            </w:r>
          </w:p>
        </w:tc>
      </w:tr>
      <w:tr>
        <w:tc>
          <w:tcPr>
            <w:tcMar>
              <w:top w:type="dxa" w:w="100"/>
              <w:left w:type="dxa" w:w="120"/>
              <w:bottom w:type="dxa" w:w="100"/>
              <w:right w:type="dxa" w:w="120"/>
            </w:tcMar>
            <w:vAlign w:val="top"/>
          </w:tcPr>
          <w:p>
            <w:r>
              <w:rPr>
                <w:b w:val="false"/>
                <w:bCs w:val="false"/>
                <w:color w:val="4A5570"/>
                <w:sz w:val="19"/>
                <w:szCs w:val="19"/>
              </w:rPr>
              <w:t xml:space="preserve">SME client (the accountant’s client)</w:t>
            </w:r>
          </w:p>
        </w:tc>
        <w:tc>
          <w:tcPr>
            <w:tcMar>
              <w:top w:type="dxa" w:w="100"/>
              <w:left w:type="dxa" w:w="120"/>
              <w:bottom w:type="dxa" w:w="100"/>
              <w:right w:type="dxa" w:w="120"/>
            </w:tcMar>
            <w:vAlign w:val="top"/>
          </w:tcPr>
          <w:p>
            <w:r>
              <w:rPr>
                <w:b w:val="false"/>
                <w:bCs w:val="false"/>
                <w:color w:val="4A5570"/>
                <w:sz w:val="19"/>
                <w:szCs w:val="19"/>
              </w:rPr>
              <w:t xml:space="preserve">Stay compliant with as little effort as possible.</w:t>
            </w:r>
          </w:p>
        </w:tc>
        <w:tc>
          <w:tcPr>
            <w:tcMar>
              <w:top w:type="dxa" w:w="100"/>
              <w:left w:type="dxa" w:w="120"/>
              <w:bottom w:type="dxa" w:w="100"/>
              <w:right w:type="dxa" w:w="120"/>
            </w:tcMar>
            <w:vAlign w:val="top"/>
          </w:tcPr>
          <w:p>
            <w:r>
              <w:rPr>
                <w:b w:val="false"/>
                <w:bCs w:val="false"/>
                <w:color w:val="4A5570"/>
                <w:sz w:val="19"/>
                <w:szCs w:val="19"/>
              </w:rPr>
              <w:t xml:space="preserve">Forgets, doesn’t want to learn new software, sends blurry photos.</w:t>
            </w:r>
          </w:p>
        </w:tc>
        <w:tc>
          <w:tcPr>
            <w:tcMar>
              <w:top w:type="dxa" w:w="100"/>
              <w:left w:type="dxa" w:w="120"/>
              <w:bottom w:type="dxa" w:w="100"/>
              <w:right w:type="dxa" w:w="120"/>
            </w:tcMar>
            <w:vAlign w:val="top"/>
          </w:tcPr>
          <w:p>
            <w:r>
              <w:rPr>
                <w:b w:val="false"/>
                <w:bCs w:val="false"/>
                <w:color w:val="4A5570"/>
                <w:sz w:val="19"/>
                <w:szCs w:val="19"/>
              </w:rPr>
              <w:t xml:space="preserve">Never has to leave WhatsApp, gets polite reminders.</w:t>
            </w:r>
          </w:p>
        </w:tc>
      </w:tr>
      <w:tr>
        <w:tc>
          <w:tcPr>
            <w:tcMar>
              <w:top w:type="dxa" w:w="100"/>
              <w:left w:type="dxa" w:w="120"/>
              <w:bottom w:type="dxa" w:w="100"/>
              <w:right w:type="dxa" w:w="120"/>
            </w:tcMar>
            <w:vAlign w:val="top"/>
          </w:tcPr>
          <w:p>
            <w:r>
              <w:rPr>
                <w:b w:val="false"/>
                <w:bCs w:val="false"/>
                <w:color w:val="4A5570"/>
                <w:sz w:val="19"/>
                <w:szCs w:val="19"/>
              </w:rPr>
              <w:t xml:space="preserve">Operations / practice manager</w:t>
            </w:r>
          </w:p>
        </w:tc>
        <w:tc>
          <w:tcPr>
            <w:tcMar>
              <w:top w:type="dxa" w:w="100"/>
              <w:left w:type="dxa" w:w="120"/>
              <w:bottom w:type="dxa" w:w="100"/>
              <w:right w:type="dxa" w:w="120"/>
            </w:tcMar>
            <w:vAlign w:val="top"/>
          </w:tcPr>
          <w:p>
            <w:r>
              <w:rPr>
                <w:b w:val="false"/>
                <w:bCs w:val="false"/>
                <w:color w:val="4A5570"/>
                <w:sz w:val="19"/>
                <w:szCs w:val="19"/>
              </w:rPr>
              <w:t xml:space="preserve">Even workload across staff, nothing falls through the cracks.</w:t>
            </w:r>
          </w:p>
        </w:tc>
        <w:tc>
          <w:tcPr>
            <w:tcMar>
              <w:top w:type="dxa" w:w="100"/>
              <w:left w:type="dxa" w:w="120"/>
              <w:bottom w:type="dxa" w:w="100"/>
              <w:right w:type="dxa" w:w="120"/>
            </w:tcMar>
            <w:vAlign w:val="top"/>
          </w:tcPr>
          <w:p>
            <w:r>
              <w:rPr>
                <w:b w:val="false"/>
                <w:bCs w:val="false"/>
                <w:color w:val="4A5570"/>
                <w:sz w:val="19"/>
                <w:szCs w:val="19"/>
              </w:rPr>
              <w:t xml:space="preserve">No single source of truth for who’s doing what.</w:t>
            </w:r>
          </w:p>
        </w:tc>
        <w:tc>
          <w:tcPr>
            <w:tcMar>
              <w:top w:type="dxa" w:w="100"/>
              <w:left w:type="dxa" w:w="120"/>
              <w:bottom w:type="dxa" w:w="100"/>
              <w:right w:type="dxa" w:w="120"/>
            </w:tcMar>
            <w:vAlign w:val="top"/>
          </w:tcPr>
          <w:p>
            <w:r>
              <w:rPr>
                <w:b w:val="false"/>
                <w:bCs w:val="false"/>
                <w:color w:val="4A5570"/>
                <w:sz w:val="19"/>
                <w:szCs w:val="19"/>
              </w:rPr>
              <w:t xml:space="preserve">Task assignment and audit log across the whole firm.</w:t>
            </w:r>
          </w:p>
        </w:tc>
      </w:tr>
      <w:tr>
        <w:tc>
          <w:tcPr>
            <w:tcMar>
              <w:top w:type="dxa" w:w="100"/>
              <w:left w:type="dxa" w:w="120"/>
              <w:bottom w:type="dxa" w:w="100"/>
              <w:right w:type="dxa" w:w="120"/>
            </w:tcMar>
            <w:vAlign w:val="top"/>
          </w:tcPr>
          <w:p>
            <w:r>
              <w:rPr>
                <w:b w:val="false"/>
                <w:bCs w:val="false"/>
                <w:color w:val="4A5570"/>
                <w:sz w:val="19"/>
                <w:szCs w:val="19"/>
              </w:rPr>
              <w:t xml:space="preserve">IT / compliance lead (larger firms)</w:t>
            </w:r>
          </w:p>
        </w:tc>
        <w:tc>
          <w:tcPr>
            <w:tcMar>
              <w:top w:type="dxa" w:w="100"/>
              <w:left w:type="dxa" w:w="120"/>
              <w:bottom w:type="dxa" w:w="100"/>
              <w:right w:type="dxa" w:w="120"/>
            </w:tcMar>
            <w:vAlign w:val="top"/>
          </w:tcPr>
          <w:p>
            <w:r>
              <w:rPr>
                <w:b w:val="false"/>
                <w:bCs w:val="false"/>
                <w:color w:val="4A5570"/>
                <w:sz w:val="19"/>
                <w:szCs w:val="19"/>
              </w:rPr>
              <w:t xml:space="preserve">Confidence that client data is handled safely.</w:t>
            </w:r>
          </w:p>
        </w:tc>
        <w:tc>
          <w:tcPr>
            <w:tcMar>
              <w:top w:type="dxa" w:w="100"/>
              <w:left w:type="dxa" w:w="120"/>
              <w:bottom w:type="dxa" w:w="100"/>
              <w:right w:type="dxa" w:w="120"/>
            </w:tcMar>
            <w:vAlign w:val="top"/>
          </w:tcPr>
          <w:p>
            <w:r>
              <w:rPr>
                <w:b w:val="false"/>
                <w:bCs w:val="false"/>
                <w:color w:val="4A5570"/>
                <w:sz w:val="19"/>
                <w:szCs w:val="19"/>
              </w:rPr>
              <w:t xml:space="preserve">Unmanaged WhatsApp chat history is a data-protection liability today.</w:t>
            </w:r>
          </w:p>
        </w:tc>
        <w:tc>
          <w:tcPr>
            <w:tcMar>
              <w:top w:type="dxa" w:w="100"/>
              <w:left w:type="dxa" w:w="120"/>
              <w:bottom w:type="dxa" w:w="100"/>
              <w:right w:type="dxa" w:w="120"/>
            </w:tcMar>
            <w:vAlign w:val="top"/>
          </w:tcPr>
          <w:p>
            <w:r>
              <w:rPr>
                <w:b w:val="false"/>
                <w:bCs w:val="false"/>
                <w:color w:val="4A5570"/>
                <w:sz w:val="19"/>
                <w:szCs w:val="19"/>
              </w:rPr>
              <w:t xml:space="preserve">Audit logs, access controls, data residency, a clear processing agreement.</w:t>
            </w:r>
          </w:p>
        </w:tc>
      </w:tr>
    </w:tbl>
    <w:p>
      <w:pPr>
        <w:pStyle w:val="Heading1"/>
        <w:spacing w:after="180" w:before="420"/>
      </w:pPr>
      <w:r>
        <w:rPr>
          <w:b/>
          <w:bCs/>
          <w:color w:val="1B2437"/>
          <w:sz w:val="30"/>
          <w:szCs w:val="30"/>
        </w:rPr>
        <w:t xml:space="preserve">5. Product design principles</w:t>
      </w:r>
    </w:p>
    <w:p>
      <w:pPr>
        <w:pStyle w:val="Heading3"/>
        <w:spacing w:after="80" w:before="200"/>
      </w:pPr>
      <w:r>
        <w:rPr>
          <w:b/>
          <w:bCs/>
          <w:color w:val="1B2437"/>
          <w:sz w:val="21"/>
          <w:szCs w:val="21"/>
        </w:rPr>
        <w:t xml:space="preserve">1. A human always approves</w:t>
      </w:r>
    </w:p>
    <w:p>
      <w:pPr>
        <w:spacing w:after="120" w:line="276"/>
      </w:pPr>
      <w:r>
        <w:rPr>
          <w:b w:val="false"/>
          <w:bCs w:val="false"/>
          <w:i w:val="false"/>
          <w:iCs w:val="false"/>
          <w:color w:val="4A5570"/>
          <w:sz w:val="21"/>
          <w:szCs w:val="21"/>
        </w:rPr>
        <w:t xml:space="preserve">Taxflow never sends a message, files a return, or posts a number without a person choosing to. Automation prepares; people decide. This is the single most important trust rule in the product.</w:t>
      </w:r>
    </w:p>
    <w:p>
      <w:pPr>
        <w:pStyle w:val="Heading3"/>
        <w:spacing w:after="80" w:before="200"/>
      </w:pPr>
      <w:r>
        <w:rPr>
          <w:b/>
          <w:bCs/>
          <w:color w:val="1B2437"/>
          <w:sz w:val="21"/>
          <w:szCs w:val="21"/>
        </w:rPr>
        <w:t xml:space="preserve">2. Meet the client where they are</w:t>
      </w:r>
    </w:p>
    <w:p>
      <w:pPr>
        <w:spacing w:after="120" w:line="276"/>
      </w:pPr>
      <w:r>
        <w:rPr>
          <w:b w:val="false"/>
          <w:bCs w:val="false"/>
          <w:i w:val="false"/>
          <w:iCs w:val="false"/>
          <w:color w:val="4A5570"/>
          <w:sz w:val="21"/>
          <w:szCs w:val="21"/>
        </w:rPr>
        <w:t xml:space="preserve">We don’t ask SME clients to install anything or learn a portal. If they can send a photo on WhatsApp, they can use Taxflow.</w:t>
      </w:r>
    </w:p>
    <w:p>
      <w:pPr>
        <w:pStyle w:val="Heading3"/>
        <w:spacing w:after="80" w:before="200"/>
      </w:pPr>
      <w:r>
        <w:rPr>
          <w:b/>
          <w:bCs/>
          <w:color w:val="1B2437"/>
          <w:sz w:val="21"/>
          <w:szCs w:val="21"/>
        </w:rPr>
        <w:t xml:space="preserve">3. Every number has a source</w:t>
      </w:r>
    </w:p>
    <w:p>
      <w:pPr>
        <w:spacing w:after="120" w:line="276"/>
      </w:pPr>
      <w:r>
        <w:rPr>
          <w:b w:val="false"/>
          <w:bCs w:val="false"/>
          <w:i w:val="false"/>
          <w:iCs w:val="false"/>
          <w:color w:val="4A5570"/>
          <w:sz w:val="21"/>
          <w:szCs w:val="21"/>
        </w:rPr>
        <w:t xml:space="preserve">Any figure the product produces links back to the original document. If we can’t show where a number came from, we don’t show the number.</w:t>
      </w:r>
    </w:p>
    <w:p>
      <w:pPr>
        <w:pStyle w:val="Heading3"/>
        <w:spacing w:after="80" w:before="200"/>
      </w:pPr>
      <w:r>
        <w:rPr>
          <w:b/>
          <w:bCs/>
          <w:color w:val="1B2437"/>
          <w:sz w:val="21"/>
          <w:szCs w:val="21"/>
        </w:rPr>
        <w:t xml:space="preserve">4. Show confidence, don’t hide uncertainty</w:t>
      </w:r>
    </w:p>
    <w:p>
      <w:pPr>
        <w:spacing w:after="120" w:line="276"/>
      </w:pPr>
      <w:r>
        <w:rPr>
          <w:b w:val="false"/>
          <w:bCs w:val="false"/>
          <w:i w:val="false"/>
          <w:iCs w:val="false"/>
          <w:color w:val="4A5570"/>
          <w:sz w:val="21"/>
          <w:szCs w:val="21"/>
        </w:rPr>
        <w:t xml:space="preserve">Extraction is probabilistic. The UI always shows how sure the system is, and routes anything uncertain to a person before it’s used.</w:t>
      </w:r>
    </w:p>
    <w:p>
      <w:pPr>
        <w:pStyle w:val="Heading3"/>
        <w:spacing w:after="80" w:before="200"/>
      </w:pPr>
      <w:r>
        <w:rPr>
          <w:b/>
          <w:bCs/>
          <w:color w:val="1B2437"/>
          <w:sz w:val="21"/>
          <w:szCs w:val="21"/>
        </w:rPr>
        <w:t xml:space="preserve">5. Sit on top, don’t replace</w:t>
      </w:r>
    </w:p>
    <w:p>
      <w:pPr>
        <w:spacing w:after="120" w:line="276"/>
      </w:pPr>
      <w:r>
        <w:rPr>
          <w:b w:val="false"/>
          <w:bCs w:val="false"/>
          <w:i w:val="false"/>
          <w:iCs w:val="false"/>
          <w:color w:val="4A5570"/>
          <w:sz w:val="21"/>
          <w:szCs w:val="21"/>
        </w:rPr>
        <w:t xml:space="preserve">Firms have already chosen a ledger. We integrate and export; we don’t ask them to migrate.</w:t>
      </w:r>
    </w:p>
    <w:p>
      <w:pPr>
        <w:pStyle w:val="Heading3"/>
        <w:spacing w:after="80" w:before="200"/>
      </w:pPr>
      <w:r>
        <w:rPr>
          <w:b/>
          <w:bCs/>
          <w:color w:val="1B2437"/>
          <w:sz w:val="21"/>
          <w:szCs w:val="21"/>
        </w:rPr>
        <w:t xml:space="preserve">6. Built for the firm, not the client</w:t>
      </w:r>
    </w:p>
    <w:p>
      <w:pPr>
        <w:spacing w:after="120" w:line="276"/>
      </w:pPr>
      <w:r>
        <w:rPr>
          <w:b w:val="false"/>
          <w:bCs w:val="false"/>
          <w:i w:val="false"/>
          <w:iCs w:val="false"/>
          <w:color w:val="4A5570"/>
          <w:sz w:val="21"/>
          <w:szCs w:val="21"/>
        </w:rPr>
        <w:t xml:space="preserve">Every screen answers a firm’s question: who’s behind, what needs review, what’s due. The client-facing surface is deliberately minimal.</w:t>
      </w:r>
    </w:p>
    <w:p>
      <w:pPr>
        <w:pStyle w:val="Heading1"/>
        <w:spacing w:after="180" w:before="420"/>
      </w:pPr>
      <w:r>
        <w:rPr>
          <w:b/>
          <w:bCs/>
          <w:color w:val="1B2437"/>
          <w:sz w:val="30"/>
          <w:szCs w:val="30"/>
        </w:rPr>
        <w:t xml:space="preserve">6. End-to-end user journey</w:t>
      </w:r>
    </w:p>
    <w:p>
      <w:pPr>
        <w:spacing w:after="120" w:line="276"/>
      </w:pPr>
      <w:r>
        <w:rPr>
          <w:b w:val="false"/>
          <w:bCs w:val="false"/>
          <w:i/>
          <w:iCs/>
          <w:color w:val="6B7690"/>
          <w:sz w:val="21"/>
          <w:szCs w:val="21"/>
        </w:rPr>
        <w:t xml:space="preserve">Walking through one filing period for one client shows how the features connect.</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1600"/>
        <w:gridCol w:w="5900"/>
        <w:gridCol w:w="19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Step</w:t>
            </w:r>
          </w:p>
        </w:tc>
        <w:tc>
          <w:tcPr>
            <w:shd w:fill="F3F6FC" w:val="clear"/>
            <w:tcMar>
              <w:top w:type="dxa" w:w="100"/>
              <w:left w:type="dxa" w:w="120"/>
              <w:bottom w:type="dxa" w:w="100"/>
              <w:right w:type="dxa" w:w="120"/>
            </w:tcMar>
            <w:vAlign w:val="top"/>
          </w:tcPr>
          <w:p>
            <w:r>
              <w:rPr>
                <w:b/>
                <w:bCs/>
                <w:color w:val="1B2437"/>
                <w:sz w:val="19"/>
                <w:szCs w:val="19"/>
              </w:rPr>
              <w:t xml:space="preserve">What happens</w:t>
            </w:r>
          </w:p>
        </w:tc>
        <w:tc>
          <w:tcPr>
            <w:shd w:fill="F3F6FC" w:val="clear"/>
            <w:tcMar>
              <w:top w:type="dxa" w:w="100"/>
              <w:left w:type="dxa" w:w="120"/>
              <w:bottom w:type="dxa" w:w="100"/>
              <w:right w:type="dxa" w:w="120"/>
            </w:tcMar>
            <w:vAlign w:val="top"/>
          </w:tcPr>
          <w:p>
            <w:r>
              <w:rPr>
                <w:b/>
                <w:bCs/>
                <w:color w:val="1B2437"/>
                <w:sz w:val="19"/>
                <w:szCs w:val="19"/>
              </w:rPr>
              <w:t xml:space="preserve">Who acts</w:t>
            </w:r>
          </w:p>
        </w:tc>
      </w:tr>
      <w:tr>
        <w:tc>
          <w:tcPr>
            <w:tcMar>
              <w:top w:type="dxa" w:w="100"/>
              <w:left w:type="dxa" w:w="120"/>
              <w:bottom w:type="dxa" w:w="100"/>
              <w:right w:type="dxa" w:w="120"/>
            </w:tcMar>
            <w:vAlign w:val="top"/>
          </w:tcPr>
          <w:p>
            <w:r>
              <w:rPr>
                <w:b w:val="false"/>
                <w:bCs w:val="false"/>
                <w:color w:val="4A5570"/>
                <w:sz w:val="19"/>
                <w:szCs w:val="19"/>
              </w:rPr>
              <w:t xml:space="preserve">1. Period opens</w:t>
            </w:r>
          </w:p>
        </w:tc>
        <w:tc>
          <w:tcPr>
            <w:tcMar>
              <w:top w:type="dxa" w:w="100"/>
              <w:left w:type="dxa" w:w="120"/>
              <w:bottom w:type="dxa" w:w="100"/>
              <w:right w:type="dxa" w:w="120"/>
            </w:tcMar>
            <w:vAlign w:val="top"/>
          </w:tcPr>
          <w:p>
            <w:r>
              <w:rPr>
                <w:b w:val="false"/>
                <w:bCs w:val="false"/>
                <w:color w:val="4A5570"/>
                <w:sz w:val="19"/>
                <w:szCs w:val="19"/>
              </w:rPr>
              <w:t xml:space="preserve">The deadline engine creates the period’s checklist for the client automatically, based on their registered filing obligations.</w:t>
            </w:r>
          </w:p>
        </w:tc>
        <w:tc>
          <w:tcPr>
            <w:tcMar>
              <w:top w:type="dxa" w:w="100"/>
              <w:left w:type="dxa" w:w="120"/>
              <w:bottom w:type="dxa" w:w="100"/>
              <w:right w:type="dxa" w:w="120"/>
            </w:tcMar>
            <w:vAlign w:val="top"/>
          </w:tcPr>
          <w:p>
            <w:r>
              <w:rPr>
                <w:b w:val="false"/>
                <w:bCs w:val="false"/>
                <w:color w:val="4A5570"/>
                <w:sz w:val="19"/>
                <w:szCs w:val="19"/>
              </w:rPr>
              <w:t xml:space="preserve">System</w:t>
            </w:r>
          </w:p>
        </w:tc>
      </w:tr>
      <w:tr>
        <w:tc>
          <w:tcPr>
            <w:tcMar>
              <w:top w:type="dxa" w:w="100"/>
              <w:left w:type="dxa" w:w="120"/>
              <w:bottom w:type="dxa" w:w="100"/>
              <w:right w:type="dxa" w:w="120"/>
            </w:tcMar>
            <w:vAlign w:val="top"/>
          </w:tcPr>
          <w:p>
            <w:r>
              <w:rPr>
                <w:b w:val="false"/>
                <w:bCs w:val="false"/>
                <w:color w:val="4A5570"/>
                <w:sz w:val="19"/>
                <w:szCs w:val="19"/>
              </w:rPr>
              <w:t xml:space="preserve">2. Request sent</w:t>
            </w:r>
          </w:p>
        </w:tc>
        <w:tc>
          <w:tcPr>
            <w:tcMar>
              <w:top w:type="dxa" w:w="100"/>
              <w:left w:type="dxa" w:w="120"/>
              <w:bottom w:type="dxa" w:w="100"/>
              <w:right w:type="dxa" w:w="120"/>
            </w:tcMar>
            <w:vAlign w:val="top"/>
          </w:tcPr>
          <w:p>
            <w:r>
              <w:rPr>
                <w:b w:val="false"/>
                <w:bCs w:val="false"/>
                <w:color w:val="4A5570"/>
                <w:sz w:val="19"/>
                <w:szCs w:val="19"/>
              </w:rPr>
              <w:t xml:space="preserve">A WhatsApp message goes out (on schedule or on demand) asking for the specific documents still missing, in the client’s language.</w:t>
            </w:r>
          </w:p>
        </w:tc>
        <w:tc>
          <w:tcPr>
            <w:tcMar>
              <w:top w:type="dxa" w:w="100"/>
              <w:left w:type="dxa" w:w="120"/>
              <w:bottom w:type="dxa" w:w="100"/>
              <w:right w:type="dxa" w:w="120"/>
            </w:tcMar>
            <w:vAlign w:val="top"/>
          </w:tcPr>
          <w:p>
            <w:r>
              <w:rPr>
                <w:b w:val="false"/>
                <w:bCs w:val="false"/>
                <w:color w:val="4A5570"/>
                <w:sz w:val="19"/>
                <w:szCs w:val="19"/>
              </w:rPr>
              <w:t xml:space="preserve">System, firm approves template</w:t>
            </w:r>
          </w:p>
        </w:tc>
      </w:tr>
      <w:tr>
        <w:tc>
          <w:tcPr>
            <w:tcMar>
              <w:top w:type="dxa" w:w="100"/>
              <w:left w:type="dxa" w:w="120"/>
              <w:bottom w:type="dxa" w:w="100"/>
              <w:right w:type="dxa" w:w="120"/>
            </w:tcMar>
            <w:vAlign w:val="top"/>
          </w:tcPr>
          <w:p>
            <w:r>
              <w:rPr>
                <w:b w:val="false"/>
                <w:bCs w:val="false"/>
                <w:color w:val="4A5570"/>
                <w:sz w:val="19"/>
                <w:szCs w:val="19"/>
              </w:rPr>
              <w:t xml:space="preserve">3. Client replies</w:t>
            </w:r>
          </w:p>
        </w:tc>
        <w:tc>
          <w:tcPr>
            <w:tcMar>
              <w:top w:type="dxa" w:w="100"/>
              <w:left w:type="dxa" w:w="120"/>
              <w:bottom w:type="dxa" w:w="100"/>
              <w:right w:type="dxa" w:w="120"/>
            </w:tcMar>
            <w:vAlign w:val="top"/>
          </w:tcPr>
          <w:p>
            <w:r>
              <w:rPr>
                <w:b w:val="false"/>
                <w:bCs w:val="false"/>
                <w:color w:val="4A5570"/>
                <w:sz w:val="19"/>
                <w:szCs w:val="19"/>
              </w:rPr>
              <w:t xml:space="preserve">The client sends photos or PDFs directly in the same chat. No login, no app.</w:t>
            </w:r>
          </w:p>
        </w:tc>
        <w:tc>
          <w:tcPr>
            <w:tcMar>
              <w:top w:type="dxa" w:w="100"/>
              <w:left w:type="dxa" w:w="120"/>
              <w:bottom w:type="dxa" w:w="100"/>
              <w:right w:type="dxa" w:w="120"/>
            </w:tcMar>
            <w:vAlign w:val="top"/>
          </w:tcPr>
          <w:p>
            <w:r>
              <w:rPr>
                <w:b w:val="false"/>
                <w:bCs w:val="false"/>
                <w:color w:val="4A5570"/>
                <w:sz w:val="19"/>
                <w:szCs w:val="19"/>
              </w:rPr>
              <w:t xml:space="preserve">Client</w:t>
            </w:r>
          </w:p>
        </w:tc>
      </w:tr>
      <w:tr>
        <w:tc>
          <w:tcPr>
            <w:tcMar>
              <w:top w:type="dxa" w:w="100"/>
              <w:left w:type="dxa" w:w="120"/>
              <w:bottom w:type="dxa" w:w="100"/>
              <w:right w:type="dxa" w:w="120"/>
            </w:tcMar>
            <w:vAlign w:val="top"/>
          </w:tcPr>
          <w:p>
            <w:r>
              <w:rPr>
                <w:b w:val="false"/>
                <w:bCs w:val="false"/>
                <w:color w:val="4A5570"/>
                <w:sz w:val="19"/>
                <w:szCs w:val="19"/>
              </w:rPr>
              <w:t xml:space="preserve">4. Auto-capture</w:t>
            </w:r>
          </w:p>
        </w:tc>
        <w:tc>
          <w:tcPr>
            <w:tcMar>
              <w:top w:type="dxa" w:w="100"/>
              <w:left w:type="dxa" w:w="120"/>
              <w:bottom w:type="dxa" w:w="100"/>
              <w:right w:type="dxa" w:w="120"/>
            </w:tcMar>
            <w:vAlign w:val="top"/>
          </w:tcPr>
          <w:p>
            <w:r>
              <w:rPr>
                <w:b w:val="false"/>
                <w:bCs w:val="false"/>
                <w:color w:val="4A5570"/>
                <w:sz w:val="19"/>
                <w:szCs w:val="19"/>
              </w:rPr>
              <w:t xml:space="preserve">Every attachment is saved into the right client / year / month / Raw folder within seconds, and the checklist item ticks.</w:t>
            </w:r>
          </w:p>
        </w:tc>
        <w:tc>
          <w:tcPr>
            <w:tcMar>
              <w:top w:type="dxa" w:w="100"/>
              <w:left w:type="dxa" w:w="120"/>
              <w:bottom w:type="dxa" w:w="100"/>
              <w:right w:type="dxa" w:w="120"/>
            </w:tcMar>
            <w:vAlign w:val="top"/>
          </w:tcPr>
          <w:p>
            <w:r>
              <w:rPr>
                <w:b w:val="false"/>
                <w:bCs w:val="false"/>
                <w:color w:val="4A5570"/>
                <w:sz w:val="19"/>
                <w:szCs w:val="19"/>
              </w:rPr>
              <w:t xml:space="preserve">System</w:t>
            </w:r>
          </w:p>
        </w:tc>
      </w:tr>
      <w:tr>
        <w:tc>
          <w:tcPr>
            <w:tcMar>
              <w:top w:type="dxa" w:w="100"/>
              <w:left w:type="dxa" w:w="120"/>
              <w:bottom w:type="dxa" w:w="100"/>
              <w:right w:type="dxa" w:w="120"/>
            </w:tcMar>
            <w:vAlign w:val="top"/>
          </w:tcPr>
          <w:p>
            <w:r>
              <w:rPr>
                <w:b w:val="false"/>
                <w:bCs w:val="false"/>
                <w:color w:val="4A5570"/>
                <w:sz w:val="19"/>
                <w:szCs w:val="19"/>
              </w:rPr>
              <w:t xml:space="preserve">5. Extraction</w:t>
            </w:r>
          </w:p>
        </w:tc>
        <w:tc>
          <w:tcPr>
            <w:tcMar>
              <w:top w:type="dxa" w:w="100"/>
              <w:left w:type="dxa" w:w="120"/>
              <w:bottom w:type="dxa" w:w="100"/>
              <w:right w:type="dxa" w:w="120"/>
            </w:tcMar>
            <w:vAlign w:val="top"/>
          </w:tcPr>
          <w:p>
            <w:r>
              <w:rPr>
                <w:b w:val="false"/>
                <w:bCs w:val="false"/>
                <w:color w:val="4A5570"/>
                <w:sz w:val="19"/>
                <w:szCs w:val="19"/>
              </w:rPr>
              <w:t xml:space="preserve">The document is read: dates, amounts, tax IDs, line items. A confidence score is attached to every field.</w:t>
            </w:r>
          </w:p>
        </w:tc>
        <w:tc>
          <w:tcPr>
            <w:tcMar>
              <w:top w:type="dxa" w:w="100"/>
              <w:left w:type="dxa" w:w="120"/>
              <w:bottom w:type="dxa" w:w="100"/>
              <w:right w:type="dxa" w:w="120"/>
            </w:tcMar>
            <w:vAlign w:val="top"/>
          </w:tcPr>
          <w:p>
            <w:r>
              <w:rPr>
                <w:b w:val="false"/>
                <w:bCs w:val="false"/>
                <w:color w:val="4A5570"/>
                <w:sz w:val="19"/>
                <w:szCs w:val="19"/>
              </w:rPr>
              <w:t xml:space="preserve">System</w:t>
            </w:r>
          </w:p>
        </w:tc>
      </w:tr>
      <w:tr>
        <w:tc>
          <w:tcPr>
            <w:tcMar>
              <w:top w:type="dxa" w:w="100"/>
              <w:left w:type="dxa" w:w="120"/>
              <w:bottom w:type="dxa" w:w="100"/>
              <w:right w:type="dxa" w:w="120"/>
            </w:tcMar>
            <w:vAlign w:val="top"/>
          </w:tcPr>
          <w:p>
            <w:r>
              <w:rPr>
                <w:b w:val="false"/>
                <w:bCs w:val="false"/>
                <w:color w:val="4A5570"/>
                <w:sz w:val="19"/>
                <w:szCs w:val="19"/>
              </w:rPr>
              <w:t xml:space="preserve">6. Review</w:t>
            </w:r>
          </w:p>
        </w:tc>
        <w:tc>
          <w:tcPr>
            <w:tcMar>
              <w:top w:type="dxa" w:w="100"/>
              <w:left w:type="dxa" w:w="120"/>
              <w:bottom w:type="dxa" w:w="100"/>
              <w:right w:type="dxa" w:w="120"/>
            </w:tcMar>
            <w:vAlign w:val="top"/>
          </w:tcPr>
          <w:p>
            <w:r>
              <w:rPr>
                <w:b w:val="false"/>
                <w:bCs w:val="false"/>
                <w:color w:val="4A5570"/>
                <w:sz w:val="19"/>
                <w:szCs w:val="19"/>
              </w:rPr>
              <w:t xml:space="preserve">Low-confidence fields and anything unusual (duplicate invoice number, mismatched tax ID) surface in a queue next to the original image.</w:t>
            </w:r>
          </w:p>
        </w:tc>
        <w:tc>
          <w:tcPr>
            <w:tcMar>
              <w:top w:type="dxa" w:w="100"/>
              <w:left w:type="dxa" w:w="120"/>
              <w:bottom w:type="dxa" w:w="100"/>
              <w:right w:type="dxa" w:w="120"/>
            </w:tcMar>
            <w:vAlign w:val="top"/>
          </w:tcPr>
          <w:p>
            <w:r>
              <w:rPr>
                <w:b w:val="false"/>
                <w:bCs w:val="false"/>
                <w:color w:val="4A5570"/>
                <w:sz w:val="19"/>
                <w:szCs w:val="19"/>
              </w:rPr>
              <w:t xml:space="preserve">Accountant</w:t>
            </w:r>
          </w:p>
        </w:tc>
      </w:tr>
      <w:tr>
        <w:tc>
          <w:tcPr>
            <w:tcMar>
              <w:top w:type="dxa" w:w="100"/>
              <w:left w:type="dxa" w:w="120"/>
              <w:bottom w:type="dxa" w:w="100"/>
              <w:right w:type="dxa" w:w="120"/>
            </w:tcMar>
            <w:vAlign w:val="top"/>
          </w:tcPr>
          <w:p>
            <w:r>
              <w:rPr>
                <w:b w:val="false"/>
                <w:bCs w:val="false"/>
                <w:color w:val="4A5570"/>
                <w:sz w:val="19"/>
                <w:szCs w:val="19"/>
              </w:rPr>
              <w:t xml:space="preserve">7. Approve</w:t>
            </w:r>
          </w:p>
        </w:tc>
        <w:tc>
          <w:tcPr>
            <w:tcMar>
              <w:top w:type="dxa" w:w="100"/>
              <w:left w:type="dxa" w:w="120"/>
              <w:bottom w:type="dxa" w:w="100"/>
              <w:right w:type="dxa" w:w="120"/>
            </w:tcMar>
            <w:vAlign w:val="top"/>
          </w:tcPr>
          <w:p>
            <w:r>
              <w:rPr>
                <w:b w:val="false"/>
                <w:bCs w:val="false"/>
                <w:color w:val="4A5570"/>
                <w:sz w:val="19"/>
                <w:szCs w:val="19"/>
              </w:rPr>
              <w:t xml:space="preserve">The accountant confirms or corrects the data. Approved data moves to the client’s Extracted folder.</w:t>
            </w:r>
          </w:p>
        </w:tc>
        <w:tc>
          <w:tcPr>
            <w:tcMar>
              <w:top w:type="dxa" w:w="100"/>
              <w:left w:type="dxa" w:w="120"/>
              <w:bottom w:type="dxa" w:w="100"/>
              <w:right w:type="dxa" w:w="120"/>
            </w:tcMar>
            <w:vAlign w:val="top"/>
          </w:tcPr>
          <w:p>
            <w:r>
              <w:rPr>
                <w:b w:val="false"/>
                <w:bCs w:val="false"/>
                <w:color w:val="4A5570"/>
                <w:sz w:val="19"/>
                <w:szCs w:val="19"/>
              </w:rPr>
              <w:t xml:space="preserve">Accountant</w:t>
            </w:r>
          </w:p>
        </w:tc>
      </w:tr>
      <w:tr>
        <w:tc>
          <w:tcPr>
            <w:tcMar>
              <w:top w:type="dxa" w:w="100"/>
              <w:left w:type="dxa" w:w="120"/>
              <w:bottom w:type="dxa" w:w="100"/>
              <w:right w:type="dxa" w:w="120"/>
            </w:tcMar>
            <w:vAlign w:val="top"/>
          </w:tcPr>
          <w:p>
            <w:r>
              <w:rPr>
                <w:b w:val="false"/>
                <w:bCs w:val="false"/>
                <w:color w:val="4A5570"/>
                <w:sz w:val="19"/>
                <w:szCs w:val="19"/>
              </w:rPr>
              <w:t xml:space="preserve">8. Progress updates</w:t>
            </w:r>
          </w:p>
        </w:tc>
        <w:tc>
          <w:tcPr>
            <w:tcMar>
              <w:top w:type="dxa" w:w="100"/>
              <w:left w:type="dxa" w:w="120"/>
              <w:bottom w:type="dxa" w:w="100"/>
              <w:right w:type="dxa" w:w="120"/>
            </w:tcMar>
            <w:vAlign w:val="top"/>
          </w:tcPr>
          <w:p>
            <w:r>
              <w:rPr>
                <w:b w:val="false"/>
                <w:bCs w:val="false"/>
                <w:color w:val="4A5570"/>
                <w:sz w:val="19"/>
                <w:szCs w:val="19"/>
              </w:rPr>
              <w:t xml:space="preserve">The client’s deadline card updates its progress bar automatically as documents are approved.</w:t>
            </w:r>
          </w:p>
        </w:tc>
        <w:tc>
          <w:tcPr>
            <w:tcMar>
              <w:top w:type="dxa" w:w="100"/>
              <w:left w:type="dxa" w:w="120"/>
              <w:bottom w:type="dxa" w:w="100"/>
              <w:right w:type="dxa" w:w="120"/>
            </w:tcMar>
            <w:vAlign w:val="top"/>
          </w:tcPr>
          <w:p>
            <w:r>
              <w:rPr>
                <w:b w:val="false"/>
                <w:bCs w:val="false"/>
                <w:color w:val="4A5570"/>
                <w:sz w:val="19"/>
                <w:szCs w:val="19"/>
              </w:rPr>
              <w:t xml:space="preserve">System</w:t>
            </w:r>
          </w:p>
        </w:tc>
      </w:tr>
      <w:tr>
        <w:tc>
          <w:tcPr>
            <w:tcMar>
              <w:top w:type="dxa" w:w="100"/>
              <w:left w:type="dxa" w:w="120"/>
              <w:bottom w:type="dxa" w:w="100"/>
              <w:right w:type="dxa" w:w="120"/>
            </w:tcMar>
            <w:vAlign w:val="top"/>
          </w:tcPr>
          <w:p>
            <w:r>
              <w:rPr>
                <w:b w:val="false"/>
                <w:bCs w:val="false"/>
                <w:color w:val="4A5570"/>
                <w:sz w:val="19"/>
                <w:szCs w:val="19"/>
              </w:rPr>
              <w:t xml:space="preserve">9. Prepare</w:t>
            </w:r>
          </w:p>
        </w:tc>
        <w:tc>
          <w:tcPr>
            <w:tcMar>
              <w:top w:type="dxa" w:w="100"/>
              <w:left w:type="dxa" w:w="120"/>
              <w:bottom w:type="dxa" w:w="100"/>
              <w:right w:type="dxa" w:w="120"/>
            </w:tcMar>
            <w:vAlign w:val="top"/>
          </w:tcPr>
          <w:p>
            <w:r>
              <w:rPr>
                <w:b w:val="false"/>
                <w:bCs w:val="false"/>
                <w:color w:val="4A5570"/>
                <w:sz w:val="19"/>
                <w:szCs w:val="19"/>
              </w:rPr>
              <w:t xml:space="preserve">Once enough of the period’s documents are approved, the firm generates a filing worksheet or export file from that data.</w:t>
            </w:r>
          </w:p>
        </w:tc>
        <w:tc>
          <w:tcPr>
            <w:tcMar>
              <w:top w:type="dxa" w:w="100"/>
              <w:left w:type="dxa" w:w="120"/>
              <w:bottom w:type="dxa" w:w="100"/>
              <w:right w:type="dxa" w:w="120"/>
            </w:tcMar>
            <w:vAlign w:val="top"/>
          </w:tcPr>
          <w:p>
            <w:r>
              <w:rPr>
                <w:b w:val="false"/>
                <w:bCs w:val="false"/>
                <w:color w:val="4A5570"/>
                <w:sz w:val="19"/>
                <w:szCs w:val="19"/>
              </w:rPr>
              <w:t xml:space="preserve">Accountant, on demand</w:t>
            </w:r>
          </w:p>
        </w:tc>
      </w:tr>
      <w:tr>
        <w:tc>
          <w:tcPr>
            <w:tcMar>
              <w:top w:type="dxa" w:w="100"/>
              <w:left w:type="dxa" w:w="120"/>
              <w:bottom w:type="dxa" w:w="100"/>
              <w:right w:type="dxa" w:w="120"/>
            </w:tcMar>
            <w:vAlign w:val="top"/>
          </w:tcPr>
          <w:p>
            <w:r>
              <w:rPr>
                <w:b w:val="false"/>
                <w:bCs w:val="false"/>
                <w:color w:val="4A5570"/>
                <w:sz w:val="19"/>
                <w:szCs w:val="19"/>
              </w:rPr>
              <w:t xml:space="preserve">10. File</w:t>
            </w:r>
          </w:p>
        </w:tc>
        <w:tc>
          <w:tcPr>
            <w:tcMar>
              <w:top w:type="dxa" w:w="100"/>
              <w:left w:type="dxa" w:w="120"/>
              <w:bottom w:type="dxa" w:w="100"/>
              <w:right w:type="dxa" w:w="120"/>
            </w:tcMar>
            <w:vAlign w:val="top"/>
          </w:tcPr>
          <w:p>
            <w:r>
              <w:rPr>
                <w:b w:val="false"/>
                <w:bCs w:val="false"/>
                <w:color w:val="4A5570"/>
                <w:sz w:val="19"/>
                <w:szCs w:val="19"/>
              </w:rPr>
              <w:t xml:space="preserve">The accountant reviews the worksheet, moves the numbers into the government portal or filing software, and files under their own professional responsibility.</w:t>
            </w:r>
          </w:p>
        </w:tc>
        <w:tc>
          <w:tcPr>
            <w:tcMar>
              <w:top w:type="dxa" w:w="100"/>
              <w:left w:type="dxa" w:w="120"/>
              <w:bottom w:type="dxa" w:w="100"/>
              <w:right w:type="dxa" w:w="120"/>
            </w:tcMar>
            <w:vAlign w:val="top"/>
          </w:tcPr>
          <w:p>
            <w:r>
              <w:rPr>
                <w:b w:val="false"/>
                <w:bCs w:val="false"/>
                <w:color w:val="4A5570"/>
                <w:sz w:val="19"/>
                <w:szCs w:val="19"/>
              </w:rPr>
              <w:t xml:space="preserve">Accountant</w:t>
            </w:r>
          </w:p>
        </w:tc>
      </w:tr>
      <w:tr>
        <w:tc>
          <w:tcPr>
            <w:tcMar>
              <w:top w:type="dxa" w:w="100"/>
              <w:left w:type="dxa" w:w="120"/>
              <w:bottom w:type="dxa" w:w="100"/>
              <w:right w:type="dxa" w:w="120"/>
            </w:tcMar>
            <w:vAlign w:val="top"/>
          </w:tcPr>
          <w:p>
            <w:r>
              <w:rPr>
                <w:b w:val="false"/>
                <w:bCs w:val="false"/>
                <w:color w:val="4A5570"/>
                <w:sz w:val="19"/>
                <w:szCs w:val="19"/>
              </w:rPr>
              <w:t xml:space="preserve">11. Close out</w:t>
            </w:r>
          </w:p>
        </w:tc>
        <w:tc>
          <w:tcPr>
            <w:tcMar>
              <w:top w:type="dxa" w:w="100"/>
              <w:left w:type="dxa" w:w="120"/>
              <w:bottom w:type="dxa" w:w="100"/>
              <w:right w:type="dxa" w:w="120"/>
            </w:tcMar>
            <w:vAlign w:val="top"/>
          </w:tcPr>
          <w:p>
            <w:r>
              <w:rPr>
                <w:b w:val="false"/>
                <w:bCs w:val="false"/>
                <w:color w:val="4A5570"/>
                <w:sz w:val="19"/>
                <w:szCs w:val="19"/>
              </w:rPr>
              <w:t xml:space="preserve">The filing is marked complete, the client is notified, and everything stays in the audit log.</w:t>
            </w:r>
          </w:p>
        </w:tc>
        <w:tc>
          <w:tcPr>
            <w:tcMar>
              <w:top w:type="dxa" w:w="100"/>
              <w:left w:type="dxa" w:w="120"/>
              <w:bottom w:type="dxa" w:w="100"/>
              <w:right w:type="dxa" w:w="120"/>
            </w:tcMar>
            <w:vAlign w:val="top"/>
          </w:tcPr>
          <w:p>
            <w:r>
              <w:rPr>
                <w:b w:val="false"/>
                <w:bCs w:val="false"/>
                <w:color w:val="4A5570"/>
                <w:sz w:val="19"/>
                <w:szCs w:val="19"/>
              </w:rPr>
              <w:t xml:space="preserve">System</w:t>
            </w:r>
          </w:p>
        </w:tc>
      </w:tr>
    </w:tbl>
    <w:p>
      <w:r>
        <w:br w:type="page"/>
      </w:r>
    </w:p>
    <w:p>
      <w:pPr>
        <w:pStyle w:val="Heading1"/>
        <w:spacing w:after="180" w:before="420"/>
      </w:pPr>
      <w:r>
        <w:rPr>
          <w:b/>
          <w:bCs/>
          <w:color w:val="1B2437"/>
          <w:sz w:val="30"/>
          <w:szCs w:val="30"/>
        </w:rPr>
        <w:t xml:space="preserve">7. Features, explained in detail</w:t>
      </w:r>
    </w:p>
    <w:p>
      <w:pPr>
        <w:spacing w:after="120" w:line="276"/>
      </w:pPr>
      <w:r>
        <w:rPr>
          <w:b w:val="false"/>
          <w:bCs w:val="false"/>
          <w:i/>
          <w:iCs/>
          <w:color w:val="6B7690"/>
          <w:sz w:val="21"/>
          <w:szCs w:val="21"/>
        </w:rPr>
        <w:t xml:space="preserve">Every feature below follows the same structure: the pain point it solves, how it actually works, and why it’s designed that way.</w:t>
      </w: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  </w:t>
            </w:r>
            <w:r>
              <w:rPr>
                <w:b/>
                <w:bCs/>
                <w:color w:val="1B2437"/>
                <w:sz w:val="22"/>
                <w:szCs w:val="22"/>
              </w:rPr>
              <w:t xml:space="preserve">Client and firm workspace setup</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Firms manage client lists in scattered spreadsheets, with no single record of each client’s filing obligations, contact details or consent status.</w:t>
            </w:r>
          </w:p>
          <w:p>
            <w:pPr>
              <w:spacing w:after="40" w:before="140"/>
            </w:pPr>
            <w:r>
              <w:rPr>
                <w:b/>
                <w:bCs/>
                <w:color w:val="0F7A54"/>
                <w:sz w:val="18"/>
                <w:szCs w:val="18"/>
              </w:rPr>
              <w:t xml:space="preserve">Solution</w:t>
            </w:r>
          </w:p>
          <w:p>
            <w:pPr>
              <w:spacing w:after="60" w:line="264"/>
            </w:pPr>
            <w:r>
              <w:rPr>
                <w:color w:val="4A5570"/>
                <w:sz w:val="20"/>
                <w:szCs w:val="20"/>
              </w:rPr>
              <w:t xml:space="preserve">One structured client record per client: legal name, tax IDs, jurisdiction, filing obligations and frequencies, primary contact, WhatsApp number, language and consent status. Bulk import from Excel/CSV.</w:t>
            </w:r>
          </w:p>
          <w:p>
            <w:pPr>
              <w:spacing w:after="40" w:before="140"/>
            </w:pPr>
            <w:r>
              <w:rPr>
                <w:b/>
                <w:bCs/>
                <w:color w:val="1D4ED8"/>
                <w:sz w:val="18"/>
                <w:szCs w:val="18"/>
              </w:rPr>
              <w:t xml:space="preserve">How it works</w:t>
            </w:r>
          </w:p>
          <w:p>
            <w:pPr>
              <w:spacing w:after="60" w:line="264"/>
            </w:pPr>
            <w:r>
              <w:rPr>
                <w:color w:val="4A5570"/>
                <w:sz w:val="20"/>
                <w:szCs w:val="20"/>
              </w:rPr>
              <w:t xml:space="preserve">On sign-up, the firm imports its client list. A mapping wizard matches spreadsheet columns to fields. Filing obligations can be set per client or inferred from a jurisdiction template (for example "GST-registered, monthly" or "VAT-registered, quarterly").</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2.  </w:t>
            </w:r>
            <w:r>
              <w:rPr>
                <w:b/>
                <w:bCs/>
                <w:color w:val="1B2437"/>
                <w:sz w:val="22"/>
                <w:szCs w:val="22"/>
              </w:rPr>
              <w:t xml:space="preserve">WhatsApp document collection hub</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Clients already send bills on WhatsApp, but it’s unmanaged: buried in chat history, not filed anywhere, and the accountant has to remember to ask.</w:t>
            </w:r>
          </w:p>
          <w:p>
            <w:pPr>
              <w:spacing w:after="40" w:before="140"/>
            </w:pPr>
            <w:r>
              <w:rPr>
                <w:b/>
                <w:bCs/>
                <w:color w:val="0F7A54"/>
                <w:sz w:val="18"/>
                <w:szCs w:val="18"/>
              </w:rPr>
              <w:t xml:space="preserve">Solution</w:t>
            </w:r>
          </w:p>
          <w:p>
            <w:pPr>
              <w:spacing w:after="60" w:line="264"/>
            </w:pPr>
            <w:r>
              <w:rPr>
                <w:color w:val="4A5570"/>
                <w:sz w:val="20"/>
                <w:szCs w:val="20"/>
              </w:rPr>
              <w:t xml:space="preserve">A firm connects one WhatsApp Business number. All client conversations live in one inbox, with a checklist per client showing exactly what’s outstanding for the current period.</w:t>
            </w:r>
          </w:p>
          <w:p>
            <w:pPr>
              <w:spacing w:after="40" w:before="140"/>
            </w:pPr>
            <w:r>
              <w:rPr>
                <w:b/>
                <w:bCs/>
                <w:color w:val="1D4ED8"/>
                <w:sz w:val="18"/>
                <w:szCs w:val="18"/>
              </w:rPr>
              <w:t xml:space="preserve">How it works</w:t>
            </w:r>
          </w:p>
          <w:p>
            <w:pPr>
              <w:spacing w:after="60" w:line="264"/>
            </w:pPr>
            <w:r>
              <w:rPr>
                <w:color w:val="4A5570"/>
                <w:sz w:val="20"/>
                <w:szCs w:val="20"/>
              </w:rPr>
              <w:t xml:space="preserve">Built on the official WhatsApp Business Platform (Cloud API) via a licensed provider. Outbound requests use pre-approved message templates. Every inbound attachment is captured through a webhook and routed into the client’s folder automatically. Consent is recorded per contact before any message is sent, and an opt-out is honoured immediately.</w:t>
            </w:r>
          </w:p>
          <w:p>
            <w:pPr>
              <w:spacing w:after="40" w:before="140"/>
            </w:pPr>
            <w:r>
              <w:rPr>
                <w:b/>
                <w:bCs/>
                <w:color w:val="1B2437"/>
                <w:sz w:val="18"/>
                <w:szCs w:val="18"/>
              </w:rPr>
              <w:t xml:space="preserve">Why WhatsApp specifically</w:t>
            </w:r>
          </w:p>
          <w:p>
            <w:pPr>
              <w:spacing w:after="60" w:line="264"/>
            </w:pPr>
            <w:r>
              <w:rPr>
                <w:color w:val="4A5570"/>
                <w:sz w:val="20"/>
                <w:szCs w:val="20"/>
              </w:rPr>
              <w:t xml:space="preserve">It’s already the channel clients use informally. Formalising it — instead of asking clients to adopt a new portal — is the single biggest adoption unlock in the product.</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3.  </w:t>
            </w:r>
            <w:r>
              <w:rPr>
                <w:b/>
                <w:bCs/>
                <w:color w:val="1B2437"/>
                <w:sz w:val="22"/>
                <w:szCs w:val="22"/>
              </w:rPr>
              <w:t xml:space="preserve">Smart document requests and reminders</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Sending the same "please send your invoices" message to 80 clients, one at a time, is exactly the kind of repetitive task that eats an accountant’s week.</w:t>
            </w:r>
          </w:p>
          <w:p>
            <w:pPr>
              <w:spacing w:after="40" w:before="140"/>
            </w:pPr>
            <w:r>
              <w:rPr>
                <w:b/>
                <w:bCs/>
                <w:color w:val="0F7A54"/>
                <w:sz w:val="18"/>
                <w:szCs w:val="18"/>
              </w:rPr>
              <w:t xml:space="preserve">Solution</w:t>
            </w:r>
          </w:p>
          <w:p>
            <w:pPr>
              <w:spacing w:after="60" w:line="264"/>
            </w:pPr>
            <w:r>
              <w:rPr>
                <w:color w:val="4A5570"/>
                <w:sz w:val="20"/>
                <w:szCs w:val="20"/>
              </w:rPr>
              <w:t xml:space="preserve">Bulk, templated, scheduled requests that only ask for what’s actually still missing for each client, in their preferred language, with a one-tap "approve and send" step.</w:t>
            </w:r>
          </w:p>
          <w:p>
            <w:pPr>
              <w:spacing w:after="40" w:before="140"/>
            </w:pPr>
            <w:r>
              <w:rPr>
                <w:b/>
                <w:bCs/>
                <w:color w:val="1D4ED8"/>
                <w:sz w:val="18"/>
                <w:szCs w:val="18"/>
              </w:rPr>
              <w:t xml:space="preserve">How it works</w:t>
            </w:r>
          </w:p>
          <w:p>
            <w:pPr>
              <w:spacing w:after="60" w:line="264"/>
            </w:pPr>
            <w:r>
              <w:rPr>
                <w:color w:val="4A5570"/>
                <w:sz w:val="20"/>
                <w:szCs w:val="20"/>
              </w:rPr>
              <w:t xml:space="preserve">A request is built from a template plus per-client variables (name, period, due date, specific missing items). The firm can send immediately, schedule it, or set a recurring rule. Quiet hours prevent messages outside acceptable times. A dry-run preview shows exactly what each client will receive before it sends.</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4.  </w:t>
            </w:r>
            <w:r>
              <w:rPr>
                <w:b/>
                <w:bCs/>
                <w:color w:val="1B2437"/>
                <w:sz w:val="22"/>
                <w:szCs w:val="22"/>
              </w:rPr>
              <w:t xml:space="preserve">Automatic document extraction (OCR + AI reading)</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Retyping every invoice, receipt and bank line is slow, boring and where most manual errors creep in.</w:t>
            </w:r>
          </w:p>
          <w:p>
            <w:pPr>
              <w:spacing w:after="40" w:before="140"/>
            </w:pPr>
            <w:r>
              <w:rPr>
                <w:b/>
                <w:bCs/>
                <w:color w:val="0F7A54"/>
                <w:sz w:val="18"/>
                <w:szCs w:val="18"/>
              </w:rPr>
              <w:t xml:space="preserve">Solution</w:t>
            </w:r>
          </w:p>
          <w:p>
            <w:pPr>
              <w:spacing w:after="60" w:line="264"/>
            </w:pPr>
            <w:r>
              <w:rPr>
                <w:color w:val="4A5570"/>
                <w:sz w:val="20"/>
                <w:szCs w:val="20"/>
              </w:rPr>
              <w:t xml:space="preserve">Every incoming bill, invoice or receipt is read automatically: date, document number, party name, tax ID, line items, tax rate, and totals — with a confidence score on each field.</w:t>
            </w:r>
          </w:p>
          <w:p>
            <w:pPr>
              <w:spacing w:after="40" w:before="140"/>
            </w:pPr>
            <w:r>
              <w:rPr>
                <w:b/>
                <w:bCs/>
                <w:color w:val="1D4ED8"/>
                <w:sz w:val="18"/>
                <w:szCs w:val="18"/>
              </w:rPr>
              <w:t xml:space="preserve">How it works</w:t>
            </w:r>
          </w:p>
          <w:p>
            <w:pPr>
              <w:spacing w:after="60" w:line="264"/>
            </w:pPr>
            <w:r>
              <w:rPr>
                <w:color w:val="4A5570"/>
                <w:sz w:val="20"/>
                <w:szCs w:val="20"/>
              </w:rPr>
              <w:t xml:space="preserve">A combination of OCR and a document-understanding model extracts structured fields, cross-checked with rule-based validation (does the tax add up, is the tax ID the right format, does the total match the line items). Printed documents get the highest accuracy; handwritten or low-quality photos get flagged for closer review rather than guessed at silently.</w:t>
            </w:r>
          </w:p>
          <w:p>
            <w:pPr>
              <w:spacing w:after="40" w:before="140"/>
            </w:pPr>
            <w:r>
              <w:rPr>
                <w:b/>
                <w:bCs/>
                <w:color w:val="1B2437"/>
                <w:sz w:val="18"/>
                <w:szCs w:val="18"/>
              </w:rPr>
              <w:t xml:space="preserve">What it deliberately does not do</w:t>
            </w:r>
          </w:p>
          <w:p>
            <w:pPr>
              <w:spacing w:after="60" w:line="264"/>
            </w:pPr>
            <w:r>
              <w:rPr>
                <w:color w:val="4A5570"/>
                <w:sz w:val="20"/>
                <w:szCs w:val="20"/>
              </w:rPr>
              <w:t xml:space="preserve">It never silently "corrects" a number without flagging it, and it never claims certainty it doesn’t have. Publishing honest accuracy numbers, by document type and language, is part of the feature — not a caveat bolted on afterward.</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5.  </w:t>
            </w:r>
            <w:r>
              <w:rPr>
                <w:b/>
                <w:bCs/>
                <w:color w:val="1B2437"/>
                <w:sz w:val="22"/>
                <w:szCs w:val="22"/>
              </w:rPr>
              <w:t xml:space="preserve">Review queue</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Fully automated data entry that nobody checks is how mistakes end up in a filed tax return. Fully manual entry is slow. Firms need a middle path.</w:t>
            </w:r>
          </w:p>
          <w:p>
            <w:pPr>
              <w:spacing w:after="40" w:before="140"/>
            </w:pPr>
            <w:r>
              <w:rPr>
                <w:b/>
                <w:bCs/>
                <w:color w:val="0F7A54"/>
                <w:sz w:val="18"/>
                <w:szCs w:val="18"/>
              </w:rPr>
              <w:t xml:space="preserve">Solution</w:t>
            </w:r>
          </w:p>
          <w:p>
            <w:pPr>
              <w:spacing w:after="60" w:line="264"/>
            </w:pPr>
            <w:r>
              <w:rPr>
                <w:color w:val="4A5570"/>
                <w:sz w:val="20"/>
                <w:szCs w:val="20"/>
              </w:rPr>
              <w:t xml:space="preserve">A side-by-side view: the original document on one side, the extracted fields on the other. Low-confidence fields are visibly highlighted. One click approves; editing a field re-checks it and clears the flag.</w:t>
            </w:r>
          </w:p>
          <w:p>
            <w:pPr>
              <w:spacing w:after="40" w:before="140"/>
            </w:pPr>
            <w:r>
              <w:rPr>
                <w:b/>
                <w:bCs/>
                <w:color w:val="1D4ED8"/>
                <w:sz w:val="18"/>
                <w:szCs w:val="18"/>
              </w:rPr>
              <w:t xml:space="preserve">How it works</w:t>
            </w:r>
          </w:p>
          <w:p>
            <w:pPr>
              <w:spacing w:after="60" w:line="264"/>
            </w:pPr>
            <w:r>
              <w:rPr>
                <w:color w:val="4A5570"/>
                <w:sz w:val="20"/>
                <w:szCs w:val="20"/>
              </w:rPr>
              <w:t xml:space="preserve">Documents queue by status: needs review, extracted, approved. The queue also flags duplicate invoice numbers from the same supplier and tax-ID format errors, so the accountant isn’t just proofreading OCR — they’re catching real compliance problems before filing.</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6.  </w:t>
            </w:r>
            <w:r>
              <w:rPr>
                <w:b/>
                <w:bCs/>
                <w:color w:val="1B2437"/>
                <w:sz w:val="22"/>
                <w:szCs w:val="22"/>
              </w:rPr>
              <w:t xml:space="preserve">Client document vault</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"Where’s the original invoice for this number?" is a common, time-consuming question during a filing or an audit, and the answer today is scattered across email, WhatsApp and shared drives.</w:t>
            </w:r>
          </w:p>
          <w:p>
            <w:pPr>
              <w:spacing w:after="40" w:before="140"/>
            </w:pPr>
            <w:r>
              <w:rPr>
                <w:b/>
                <w:bCs/>
                <w:color w:val="0F7A54"/>
                <w:sz w:val="18"/>
                <w:szCs w:val="18"/>
              </w:rPr>
              <w:t xml:space="preserve">Solution</w:t>
            </w:r>
          </w:p>
          <w:p>
            <w:pPr>
              <w:spacing w:after="60" w:line="264"/>
            </w:pPr>
            <w:r>
              <w:rPr>
                <w:color w:val="4A5570"/>
                <w:sz w:val="20"/>
                <w:szCs w:val="20"/>
              </w:rPr>
              <w:t xml:space="preserve">Every client has an automatically organised folder tree: client → year → month → Raw / Extracted / Generated. Every extracted number links straight back to its source file.</w:t>
            </w:r>
          </w:p>
          <w:p>
            <w:pPr>
              <w:spacing w:after="40" w:before="140"/>
            </w:pPr>
            <w:r>
              <w:rPr>
                <w:b/>
                <w:bCs/>
                <w:color w:val="1D4ED8"/>
                <w:sz w:val="18"/>
                <w:szCs w:val="18"/>
              </w:rPr>
              <w:t xml:space="preserve">How it works</w:t>
            </w:r>
          </w:p>
          <w:p>
            <w:pPr>
              <w:spacing w:after="60" w:line="264"/>
            </w:pPr>
            <w:r>
              <w:rPr>
                <w:color w:val="4A5570"/>
                <w:sz w:val="20"/>
                <w:szCs w:val="20"/>
              </w:rPr>
              <w:t xml:space="preserve">Files are routed automatically as they’re captured or generated — no manual filing. Search works across file names, extracted party names and amounts. Retention rules can be set per jurisdiction’s record-keeping requirements.</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7.  </w:t>
            </w:r>
            <w:r>
              <w:rPr>
                <w:b/>
                <w:bCs/>
                <w:color w:val="1B2437"/>
                <w:sz w:val="22"/>
                <w:szCs w:val="22"/>
              </w:rPr>
              <w:t xml:space="preserve">Deadline and workflow tracking</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A firm with 80 clients and five filing types per client is tracking hundreds of deadlines. Today that lives in someone’s head, a spreadsheet, and a diary that all disagree.</w:t>
            </w:r>
          </w:p>
          <w:p>
            <w:pPr>
              <w:spacing w:after="40" w:before="140"/>
            </w:pPr>
            <w:r>
              <w:rPr>
                <w:b/>
                <w:bCs/>
                <w:color w:val="0F7A54"/>
                <w:sz w:val="18"/>
                <w:szCs w:val="18"/>
              </w:rPr>
              <w:t xml:space="preserve">Solution</w:t>
            </w:r>
          </w:p>
          <w:p>
            <w:pPr>
              <w:spacing w:after="60" w:line="264"/>
            </w:pPr>
            <w:r>
              <w:rPr>
                <w:color w:val="4A5570"/>
                <w:sz w:val="20"/>
                <w:szCs w:val="20"/>
              </w:rPr>
              <w:t xml:space="preserve">Every client’s filings appear as cards with a progress bar built from real, checkable steps (not a guess), a due date, and a clear at-risk flag when a deadline is close and progress is low.</w:t>
            </w:r>
          </w:p>
          <w:p>
            <w:pPr>
              <w:spacing w:after="40" w:before="140"/>
            </w:pPr>
            <w:r>
              <w:rPr>
                <w:b/>
                <w:bCs/>
                <w:color w:val="1D4ED8"/>
                <w:sz w:val="18"/>
                <w:szCs w:val="18"/>
              </w:rPr>
              <w:t xml:space="preserve">How it works</w:t>
            </w:r>
          </w:p>
          <w:p>
            <w:pPr>
              <w:spacing w:after="60" w:line="264"/>
            </w:pPr>
            <w:r>
              <w:rPr>
                <w:color w:val="4A5570"/>
                <w:sz w:val="20"/>
                <w:szCs w:val="20"/>
              </w:rPr>
              <w:t xml:space="preserve">Each filing type has a defined step sequence (collect → extract → reconcile → prepare → client approval → file). Steps tick automatically where the system can tell, and manually where a person must confirm. The firm-wide dashboard rolls every client up into a single "who’s behind" view.</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8.  </w:t>
            </w:r>
            <w:r>
              <w:rPr>
                <w:b/>
                <w:bCs/>
                <w:color w:val="1B2437"/>
                <w:sz w:val="22"/>
                <w:szCs w:val="22"/>
              </w:rPr>
              <w:t xml:space="preserve">Filing worksheets and generated files</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Once documents are collected, someone still has to sum them correctly into the exact boxes, schedules or files a tax authority expects — a mechanical but detail-critical step.</w:t>
            </w:r>
          </w:p>
          <w:p>
            <w:pPr>
              <w:spacing w:after="40" w:before="140"/>
            </w:pPr>
            <w:r>
              <w:rPr>
                <w:b/>
                <w:bCs/>
                <w:color w:val="0F7A54"/>
                <w:sz w:val="18"/>
                <w:szCs w:val="18"/>
              </w:rPr>
              <w:t xml:space="preserve">Solution</w:t>
            </w:r>
          </w:p>
          <w:p>
            <w:pPr>
              <w:spacing w:after="60" w:line="264"/>
            </w:pPr>
            <w:r>
              <w:rPr>
                <w:color w:val="4A5570"/>
                <w:sz w:val="20"/>
                <w:szCs w:val="20"/>
              </w:rPr>
              <w:t xml:space="preserve">Worksheets and export files built directly from approved, source-linked data: a clean box-by-box worksheet where a portal has no upload, or a validated export file where one is accepted.</w:t>
            </w:r>
          </w:p>
          <w:p>
            <w:pPr>
              <w:spacing w:after="40" w:before="140"/>
            </w:pPr>
            <w:r>
              <w:rPr>
                <w:b/>
                <w:bCs/>
                <w:color w:val="1D4ED8"/>
                <w:sz w:val="18"/>
                <w:szCs w:val="18"/>
              </w:rPr>
              <w:t xml:space="preserve">How it works</w:t>
            </w:r>
          </w:p>
          <w:p>
            <w:pPr>
              <w:spacing w:after="60" w:line="264"/>
            </w:pPr>
            <w:r>
              <w:rPr>
                <w:color w:val="4A5570"/>
                <w:sz w:val="20"/>
                <w:szCs w:val="20"/>
              </w:rPr>
              <w:t xml:space="preserve">A rules engine, specific to each jurisdiction and filing type, maps approved documents to the destination structure. All arithmetic is done by fixed, auditable rules — never left to a language model to guess a total. Every figure remains clickable back to its source invoices.</w:t>
            </w:r>
          </w:p>
          <w:p>
            <w:pPr>
              <w:spacing w:after="40" w:before="140"/>
            </w:pPr>
            <w:r>
              <w:rPr>
                <w:b/>
                <w:bCs/>
                <w:color w:val="1B2437"/>
                <w:sz w:val="18"/>
                <w:szCs w:val="18"/>
              </w:rPr>
              <w:t xml:space="preserve">Why this is separate from extraction</w:t>
            </w:r>
          </w:p>
          <w:p>
            <w:pPr>
              <w:spacing w:after="60" w:line="264"/>
            </w:pPr>
            <w:r>
              <w:rPr>
                <w:color w:val="4A5570"/>
                <w:sz w:val="20"/>
                <w:szCs w:val="20"/>
              </w:rPr>
              <w:t xml:space="preserve">Extraction is inherently uncertain (it’s reading a photo). Calculation should never be uncertain. Keeping them as separate steps, with separate trust levels, is a deliberate architecture decision (see section 8).</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9.  </w:t>
            </w:r>
            <w:r>
              <w:rPr>
                <w:b/>
                <w:bCs/>
                <w:color w:val="1B2437"/>
                <w:sz w:val="22"/>
                <w:szCs w:val="22"/>
              </w:rPr>
              <w:t xml:space="preserve">Ledger exports and integrations</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Firms have already chosen and trained staff on a ledger (Tally, Zoho Books, QuickBooks, Xero, Sage). Asking them to switch is a non-starter.</w:t>
            </w:r>
          </w:p>
          <w:p>
            <w:pPr>
              <w:spacing w:after="40" w:before="140"/>
            </w:pPr>
            <w:r>
              <w:rPr>
                <w:b/>
                <w:bCs/>
                <w:color w:val="0F7A54"/>
                <w:sz w:val="18"/>
                <w:szCs w:val="18"/>
              </w:rPr>
              <w:t xml:space="preserve">Solution</w:t>
            </w:r>
          </w:p>
          <w:p>
            <w:pPr>
              <w:spacing w:after="60" w:line="264"/>
            </w:pPr>
            <w:r>
              <w:rPr>
                <w:color w:val="4A5570"/>
                <w:sz w:val="20"/>
                <w:szCs w:val="20"/>
              </w:rPr>
              <w:t xml:space="preserve">Approved, extracted data exports straight into the formats those systems import, or pushes directly via API where one exists, so double entry disappears.</w:t>
            </w:r>
          </w:p>
          <w:p>
            <w:pPr>
              <w:spacing w:after="40" w:before="140"/>
            </w:pPr>
            <w:r>
              <w:rPr>
                <w:b/>
                <w:bCs/>
                <w:color w:val="1D4ED8"/>
                <w:sz w:val="18"/>
                <w:szCs w:val="18"/>
              </w:rPr>
              <w:t xml:space="preserve">How it works</w:t>
            </w:r>
          </w:p>
          <w:p>
            <w:pPr>
              <w:spacing w:after="60" w:line="264"/>
            </w:pPr>
            <w:r>
              <w:rPr>
                <w:color w:val="4A5570"/>
                <w:sz w:val="20"/>
                <w:szCs w:val="20"/>
              </w:rPr>
              <w:t xml:space="preserve">A mapping layer converts Taxflow’s internal document model into each target format. New export targets are added as a configuration, not a rebuild.</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10.  </w:t>
            </w:r>
            <w:r>
              <w:rPr>
                <w:b/>
                <w:bCs/>
                <w:color w:val="1B2437"/>
                <w:sz w:val="22"/>
                <w:szCs w:val="22"/>
              </w:rPr>
              <w:t xml:space="preserve">Roles, approvals and audit log</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A firm is professionally and legally responsible for what it files. Handing that responsibility to an unreviewable automated system is not something any serious firm will accept — nor should they.</w:t>
            </w:r>
          </w:p>
          <w:p>
            <w:pPr>
              <w:spacing w:after="40" w:before="140"/>
            </w:pPr>
            <w:r>
              <w:rPr>
                <w:b/>
                <w:bCs/>
                <w:color w:val="0F7A54"/>
                <w:sz w:val="18"/>
                <w:szCs w:val="18"/>
              </w:rPr>
              <w:t xml:space="preserve">Solution</w:t>
            </w:r>
          </w:p>
          <w:p>
            <w:pPr>
              <w:spacing w:after="60" w:line="264"/>
            </w:pPr>
            <w:r>
              <w:rPr>
                <w:color w:val="4A5570"/>
                <w:sz w:val="20"/>
                <w:szCs w:val="20"/>
              </w:rPr>
              <w:t xml:space="preserve">Role-based access (owner, senior, junior, read-only), an approval step in front of every outbound message and every "generate filing" action, and an immutable log of who did what, when, and what changed.</w:t>
            </w:r>
          </w:p>
          <w:p>
            <w:pPr>
              <w:spacing w:after="40" w:before="140"/>
            </w:pPr>
            <w:r>
              <w:rPr>
                <w:b/>
                <w:bCs/>
                <w:color w:val="1D4ED8"/>
                <w:sz w:val="18"/>
                <w:szCs w:val="18"/>
              </w:rPr>
              <w:t xml:space="preserve">How it works</w:t>
            </w:r>
          </w:p>
          <w:p>
            <w:pPr>
              <w:spacing w:after="60" w:line="264"/>
            </w:pPr>
            <w:r>
              <w:rPr>
                <w:color w:val="4A5570"/>
                <w:sz w:val="20"/>
                <w:szCs w:val="20"/>
              </w:rPr>
              <w:t xml:space="preserve">Every state-changing action writes an audit event with before/after values. The log is exportable, so it can be handed to a regulator or an internal reviewer on request.</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11.  </w:t>
            </w:r>
            <w:r>
              <w:rPr>
                <w:b/>
                <w:bCs/>
                <w:color w:val="1B2437"/>
                <w:sz w:val="22"/>
                <w:szCs w:val="22"/>
              </w:rPr>
              <w:t xml:space="preserve">Firm-wide dashboard</w:t>
            </w:r>
          </w:p>
        </w:tc>
        <w:tc>
          <w:tcPr>
            <w:tcW w:type="dxa" w:w="2200"/>
            <w:shd w:fill="FBE2E1" w:val="clear"/>
            <w:tcMar>
              <w:top w:type="dxa" w:w="110"/>
              <w:left w:type="dxa" w:w="120"/>
              <w:bottom w:type="dxa" w:w="110"/>
              <w:right w:type="dxa" w:w="120"/>
            </w:tcMar>
            <w:vAlign w:val="center"/>
          </w:tcPr>
          <w:p>
            <w:pPr>
              <w:jc w:val="center"/>
            </w:pPr>
            <w:r>
              <w:rPr>
                <w:b/>
                <w:bCs/>
                <w:color w:val="B3261E"/>
                <w:sz w:val="16"/>
                <w:szCs w:val="16"/>
              </w:rPr>
              <w:t xml:space="preserve">P0 — MVP</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A firm owner has no single view of practice health — they find out a filing is late when the client calls, angry.</w:t>
            </w:r>
          </w:p>
          <w:p>
            <w:pPr>
              <w:spacing w:after="40" w:before="140"/>
            </w:pPr>
            <w:r>
              <w:rPr>
                <w:b/>
                <w:bCs/>
                <w:color w:val="0F7A54"/>
                <w:sz w:val="18"/>
                <w:szCs w:val="18"/>
              </w:rPr>
              <w:t xml:space="preserve">Solution</w:t>
            </w:r>
          </w:p>
          <w:p>
            <w:pPr>
              <w:spacing w:after="60" w:line="264"/>
            </w:pPr>
            <w:r>
              <w:rPr>
                <w:color w:val="4A5570"/>
                <w:sz w:val="20"/>
                <w:szCs w:val="20"/>
              </w:rPr>
              <w:t xml:space="preserve">One screen: filings due this week, clients missing documents, the extraction queue, and recent automated activity — the same view every morning.</w:t>
            </w:r>
          </w:p>
          <w:p>
            <w:pPr>
              <w:spacing w:after="40" w:before="140"/>
            </w:pPr>
            <w:r>
              <w:rPr>
                <w:b/>
                <w:bCs/>
                <w:color w:val="1D4ED8"/>
                <w:sz w:val="18"/>
                <w:szCs w:val="18"/>
              </w:rPr>
              <w:t xml:space="preserve">How it works</w:t>
            </w:r>
          </w:p>
          <w:p>
            <w:pPr>
              <w:spacing w:after="60" w:line="264"/>
            </w:pPr>
            <w:r>
              <w:rPr>
                <w:color w:val="4A5570"/>
                <w:sz w:val="20"/>
                <w:szCs w:val="20"/>
              </w:rPr>
              <w:t xml:space="preserve">Aggregates data already produced by the other features into ranked, actionable lists, so the first five minutes of a workday tell the owner exactly where to focus.</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12.  </w:t>
            </w:r>
            <w:r>
              <w:rPr>
                <w:b/>
                <w:bCs/>
                <w:color w:val="1B2437"/>
                <w:sz w:val="22"/>
                <w:szCs w:val="22"/>
              </w:rPr>
              <w:t xml:space="preserve">Conversational assistant</w:t>
            </w:r>
          </w:p>
        </w:tc>
        <w:tc>
          <w:tcPr>
            <w:tcW w:type="dxa" w:w="2200"/>
            <w:shd w:fill="FBEBCF" w:val="clear"/>
            <w:tcMar>
              <w:top w:type="dxa" w:w="110"/>
              <w:left w:type="dxa" w:w="120"/>
              <w:bottom w:type="dxa" w:w="110"/>
              <w:right w:type="dxa" w:w="120"/>
            </w:tcMar>
            <w:vAlign w:val="center"/>
          </w:tcPr>
          <w:p>
            <w:pPr>
              <w:jc w:val="center"/>
            </w:pPr>
            <w:r>
              <w:rPr>
                <w:b/>
                <w:bCs/>
                <w:color w:val="8A5A00"/>
                <w:sz w:val="16"/>
                <w:szCs w:val="16"/>
              </w:rPr>
              <w:t xml:space="preserve">P1 — Fast follow</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Even with a good dashboard, finding "who hasn’t sent documents" or "prepare the filing for Client X" often means clicking through several screens.</w:t>
            </w:r>
          </w:p>
          <w:p>
            <w:pPr>
              <w:spacing w:after="40" w:before="140"/>
            </w:pPr>
            <w:r>
              <w:rPr>
                <w:b/>
                <w:bCs/>
                <w:color w:val="0F7A54"/>
                <w:sz w:val="18"/>
                <w:szCs w:val="18"/>
              </w:rPr>
              <w:t xml:space="preserve">Solution</w:t>
            </w:r>
          </w:p>
          <w:p>
            <w:pPr>
              <w:spacing w:after="60" w:line="264"/>
            </w:pPr>
            <w:r>
              <w:rPr>
                <w:color w:val="4A5570"/>
                <w:sz w:val="20"/>
                <w:szCs w:val="20"/>
              </w:rPr>
              <w:t xml:space="preserve">A chat panel that answers questions from live firm data and opens the relevant page.</w:t>
            </w:r>
          </w:p>
          <w:p>
            <w:pPr>
              <w:spacing w:after="40" w:before="140"/>
            </w:pPr>
            <w:r>
              <w:rPr>
                <w:b/>
                <w:bCs/>
                <w:color w:val="1D4ED8"/>
                <w:sz w:val="18"/>
                <w:szCs w:val="18"/>
              </w:rPr>
              <w:t xml:space="preserve">How it works</w:t>
            </w:r>
          </w:p>
          <w:p>
            <w:pPr>
              <w:spacing w:after="60" w:line="264"/>
            </w:pPr>
            <w:r>
              <w:rPr>
                <w:color w:val="4A5570"/>
                <w:sz w:val="20"/>
                <w:szCs w:val="20"/>
              </w:rPr>
              <w:t xml:space="preserve">The assistant only reads and summarises existing data, or triggers the same actions a person could click. It never sends a message or files anything without the normal approval step — this keeps the "human always approves" principle intact even when AI is doing the asking.</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13.  </w:t>
            </w:r>
            <w:r>
              <w:rPr>
                <w:b/>
                <w:bCs/>
                <w:color w:val="1B2437"/>
                <w:sz w:val="22"/>
                <w:szCs w:val="22"/>
              </w:rPr>
              <w:t xml:space="preserve">Optional client portal</w:t>
            </w:r>
          </w:p>
        </w:tc>
        <w:tc>
          <w:tcPr>
            <w:tcW w:type="dxa" w:w="2200"/>
            <w:shd w:fill="FBEBCF" w:val="clear"/>
            <w:tcMar>
              <w:top w:type="dxa" w:w="110"/>
              <w:left w:type="dxa" w:w="120"/>
              <w:bottom w:type="dxa" w:w="110"/>
              <w:right w:type="dxa" w:w="120"/>
            </w:tcMar>
            <w:vAlign w:val="center"/>
          </w:tcPr>
          <w:p>
            <w:pPr>
              <w:jc w:val="center"/>
            </w:pPr>
            <w:r>
              <w:rPr>
                <w:b/>
                <w:bCs/>
                <w:color w:val="8A5A00"/>
                <w:sz w:val="16"/>
                <w:szCs w:val="16"/>
              </w:rPr>
              <w:t xml:space="preserve">P1 — Fast follow</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Some clients (or firms) prefer a web upload link over WhatsApp, especially for larger files or clients without WhatsApp.</w:t>
            </w:r>
          </w:p>
          <w:p>
            <w:pPr>
              <w:spacing w:after="40" w:before="140"/>
            </w:pPr>
            <w:r>
              <w:rPr>
                <w:b/>
                <w:bCs/>
                <w:color w:val="0F7A54"/>
                <w:sz w:val="18"/>
                <w:szCs w:val="18"/>
              </w:rPr>
              <w:t xml:space="preserve">Solution</w:t>
            </w:r>
          </w:p>
          <w:p>
            <w:pPr>
              <w:spacing w:after="60" w:line="264"/>
            </w:pPr>
            <w:r>
              <w:rPr>
                <w:color w:val="4A5570"/>
                <w:sz w:val="20"/>
                <w:szCs w:val="20"/>
              </w:rPr>
              <w:t xml:space="preserve">A simple, no-login (magic-link) portal mirroring the same checklist, alongside WhatsApp rather than instead of it.</w:t>
            </w:r>
          </w:p>
          <w:p>
            <w:pPr>
              <w:spacing w:after="40" w:before="140"/>
            </w:pPr>
            <w:r>
              <w:rPr>
                <w:b/>
                <w:bCs/>
                <w:color w:val="1D4ED8"/>
                <w:sz w:val="18"/>
                <w:szCs w:val="18"/>
              </w:rPr>
              <w:t xml:space="preserve">How it works</w:t>
            </w:r>
          </w:p>
          <w:p>
            <w:pPr>
              <w:spacing w:after="60" w:line="264"/>
            </w:pPr>
            <w:r>
              <w:rPr>
                <w:color w:val="4A5570"/>
                <w:sz w:val="20"/>
                <w:szCs w:val="20"/>
              </w:rPr>
              <w:t xml:space="preserve">Same backend as the WhatsApp hub — the portal is just another way documents arrive. Uploaded files go through the identical capture → extract → review pipeline.</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14.  </w:t>
            </w:r>
            <w:r>
              <w:rPr>
                <w:b/>
                <w:bCs/>
                <w:color w:val="1B2437"/>
                <w:sz w:val="22"/>
                <w:szCs w:val="22"/>
              </w:rPr>
              <w:t xml:space="preserve">Bank statement parsing</w:t>
            </w:r>
          </w:p>
        </w:tc>
        <w:tc>
          <w:tcPr>
            <w:tcW w:type="dxa" w:w="2200"/>
            <w:shd w:fill="FBEBCF" w:val="clear"/>
            <w:tcMar>
              <w:top w:type="dxa" w:w="110"/>
              <w:left w:type="dxa" w:w="120"/>
              <w:bottom w:type="dxa" w:w="110"/>
              <w:right w:type="dxa" w:w="120"/>
            </w:tcMar>
            <w:vAlign w:val="center"/>
          </w:tcPr>
          <w:p>
            <w:pPr>
              <w:jc w:val="center"/>
            </w:pPr>
            <w:r>
              <w:rPr>
                <w:b/>
                <w:bCs/>
                <w:color w:val="8A5A00"/>
                <w:sz w:val="16"/>
                <w:szCs w:val="16"/>
              </w:rPr>
              <w:t xml:space="preserve">P1 — Fast follow</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Bank reconciliation is one of the most repetitive tasks in bookkeeping, and bank statement PDFs are notoriously inconsistent in format.</w:t>
            </w:r>
          </w:p>
          <w:p>
            <w:pPr>
              <w:spacing w:after="40" w:before="140"/>
            </w:pPr>
            <w:r>
              <w:rPr>
                <w:b/>
                <w:bCs/>
                <w:color w:val="0F7A54"/>
                <w:sz w:val="18"/>
                <w:szCs w:val="18"/>
              </w:rPr>
              <w:t xml:space="preserve">Solution</w:t>
            </w:r>
          </w:p>
          <w:p>
            <w:pPr>
              <w:spacing w:after="60" w:line="264"/>
            </w:pPr>
            <w:r>
              <w:rPr>
                <w:color w:val="4A5570"/>
                <w:sz w:val="20"/>
                <w:szCs w:val="20"/>
              </w:rPr>
              <w:t xml:space="preserve">Parse bank statement PDFs/Excel into transaction lists and suggest matches against already-approved invoices.</w:t>
            </w:r>
          </w:p>
          <w:p>
            <w:pPr>
              <w:spacing w:after="40" w:before="140"/>
            </w:pPr>
            <w:r>
              <w:rPr>
                <w:b/>
                <w:bCs/>
                <w:color w:val="1D4ED8"/>
                <w:sz w:val="18"/>
                <w:szCs w:val="18"/>
              </w:rPr>
              <w:t xml:space="preserve">How it works</w:t>
            </w:r>
          </w:p>
          <w:p>
            <w:pPr>
              <w:spacing w:after="60" w:line="264"/>
            </w:pPr>
            <w:r>
              <w:rPr>
                <w:color w:val="4A5570"/>
                <w:sz w:val="20"/>
                <w:szCs w:val="20"/>
              </w:rPr>
              <w:t xml:space="preserve">Per-bank templates plus a general-purpose parser handle the most common formats first; suggested matches always require a human confirmation click, never an automatic post.</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15.  </w:t>
            </w:r>
            <w:r>
              <w:rPr>
                <w:b/>
                <w:bCs/>
                <w:color w:val="1B2437"/>
                <w:sz w:val="22"/>
                <w:szCs w:val="22"/>
              </w:rPr>
              <w:t xml:space="preserve">Structured e-invoicing readiness</w:t>
            </w:r>
          </w:p>
        </w:tc>
        <w:tc>
          <w:tcPr>
            <w:tcW w:type="dxa" w:w="2200"/>
            <w:shd w:fill="FBEBCF" w:val="clear"/>
            <w:tcMar>
              <w:top w:type="dxa" w:w="110"/>
              <w:left w:type="dxa" w:w="120"/>
              <w:bottom w:type="dxa" w:w="110"/>
              <w:right w:type="dxa" w:w="120"/>
            </w:tcMar>
            <w:vAlign w:val="center"/>
          </w:tcPr>
          <w:p>
            <w:pPr>
              <w:jc w:val="center"/>
            </w:pPr>
            <w:r>
              <w:rPr>
                <w:b/>
                <w:bCs/>
                <w:color w:val="8A5A00"/>
                <w:sz w:val="16"/>
                <w:szCs w:val="16"/>
              </w:rPr>
              <w:t xml:space="preserve">P1 — Fast follow</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A growing number of countries now require invoices as structured, government-validated data rather than PDFs. Getting a client’s invoicing data clean enough for that transition is new, unpaid work for firms.</w:t>
            </w:r>
          </w:p>
          <w:p>
            <w:pPr>
              <w:spacing w:after="40" w:before="140"/>
            </w:pPr>
            <w:r>
              <w:rPr>
                <w:b/>
                <w:bCs/>
                <w:color w:val="0F7A54"/>
                <w:sz w:val="18"/>
                <w:szCs w:val="18"/>
              </w:rPr>
              <w:t xml:space="preserve">Solution</w:t>
            </w:r>
          </w:p>
          <w:p>
            <w:pPr>
              <w:spacing w:after="60" w:line="264"/>
            </w:pPr>
            <w:r>
              <w:rPr>
                <w:color w:val="4A5570"/>
                <w:sz w:val="20"/>
                <w:szCs w:val="20"/>
              </w:rPr>
              <w:t xml:space="preserve">Check a client’s invoice data against the structured-format field requirements, show a readiness score, and flag exactly what’s missing.</w:t>
            </w:r>
          </w:p>
          <w:p>
            <w:pPr>
              <w:spacing w:after="40" w:before="140"/>
            </w:pPr>
            <w:r>
              <w:rPr>
                <w:b/>
                <w:bCs/>
                <w:color w:val="1D4ED8"/>
                <w:sz w:val="18"/>
                <w:szCs w:val="18"/>
              </w:rPr>
              <w:t xml:space="preserve">How it works</w:t>
            </w:r>
          </w:p>
          <w:p>
            <w:pPr>
              <w:spacing w:after="60" w:line="264"/>
            </w:pPr>
            <w:r>
              <w:rPr>
                <w:color w:val="4A5570"/>
                <w:sz w:val="20"/>
                <w:szCs w:val="20"/>
              </w:rPr>
              <w:t xml:space="preserve">Taxflow does not become a certified e-invoicing transmitter itself — that requires formal accreditation specific to each country. Instead, it prepares clean data and hands off to an accredited third-party provider via an integration.</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16.  </w:t>
            </w:r>
            <w:r>
              <w:rPr>
                <w:b/>
                <w:bCs/>
                <w:color w:val="1B2437"/>
                <w:sz w:val="22"/>
                <w:szCs w:val="22"/>
              </w:rPr>
              <w:t xml:space="preserve">Multi-jurisdiction rule packs</w:t>
            </w:r>
          </w:p>
        </w:tc>
        <w:tc>
          <w:tcPr>
            <w:tcW w:type="dxa" w:w="2200"/>
            <w:shd w:fill="E2EBFF" w:val="clear"/>
            <w:tcMar>
              <w:top w:type="dxa" w:w="110"/>
              <w:left w:type="dxa" w:w="120"/>
              <w:bottom w:type="dxa" w:w="110"/>
              <w:right w:type="dxa" w:w="120"/>
            </w:tcMar>
            <w:vAlign w:val="center"/>
          </w:tcPr>
          <w:p>
            <w:pPr>
              <w:jc w:val="center"/>
            </w:pPr>
            <w:r>
              <w:rPr>
                <w:b/>
                <w:bCs/>
                <w:color w:val="1D4ED8"/>
                <w:sz w:val="16"/>
                <w:szCs w:val="16"/>
              </w:rPr>
              <w:t xml:space="preserve">P2 — Later</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An international firm (or a firm with clients abroad) juggles completely different filing calendars, forms and tax categories per country.</w:t>
            </w:r>
          </w:p>
          <w:p>
            <w:pPr>
              <w:spacing w:after="40" w:before="140"/>
            </w:pPr>
            <w:r>
              <w:rPr>
                <w:b/>
                <w:bCs/>
                <w:color w:val="0F7A54"/>
                <w:sz w:val="18"/>
                <w:szCs w:val="18"/>
              </w:rPr>
              <w:t xml:space="preserve">Solution</w:t>
            </w:r>
          </w:p>
          <w:p>
            <w:pPr>
              <w:spacing w:after="60" w:line="264"/>
            </w:pPr>
            <w:r>
              <w:rPr>
                <w:color w:val="4A5570"/>
                <w:sz w:val="20"/>
                <w:szCs w:val="20"/>
              </w:rPr>
              <w:t xml:space="preserve">The deadline engine, worksheet builder and document-field rules are all driven by a swappable "country pack" rather than hard-coded logic.</w:t>
            </w:r>
          </w:p>
          <w:p>
            <w:pPr>
              <w:spacing w:after="40" w:before="140"/>
            </w:pPr>
            <w:r>
              <w:rPr>
                <w:b/>
                <w:bCs/>
                <w:color w:val="1D4ED8"/>
                <w:sz w:val="18"/>
                <w:szCs w:val="18"/>
              </w:rPr>
              <w:t xml:space="preserve">How it works</w:t>
            </w:r>
          </w:p>
          <w:p>
            <w:pPr>
              <w:spacing w:after="60" w:line="264"/>
            </w:pPr>
            <w:r>
              <w:rPr>
                <w:color w:val="4A5570"/>
                <w:sz w:val="20"/>
                <w:szCs w:val="20"/>
              </w:rPr>
              <w:t xml:space="preserve">Each pack defines filing types and calendars, required invoice fields and tax categories, worksheet/export mappings, and message templates in the local language. The core product stays identical across every country.</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17.  </w:t>
            </w:r>
            <w:r>
              <w:rPr>
                <w:b/>
                <w:bCs/>
                <w:color w:val="1B2437"/>
                <w:sz w:val="22"/>
                <w:szCs w:val="22"/>
              </w:rPr>
              <w:t xml:space="preserve">Team workload and capacity view</w:t>
            </w:r>
          </w:p>
        </w:tc>
        <w:tc>
          <w:tcPr>
            <w:tcW w:type="dxa" w:w="2200"/>
            <w:shd w:fill="E2EBFF" w:val="clear"/>
            <w:tcMar>
              <w:top w:type="dxa" w:w="110"/>
              <w:left w:type="dxa" w:w="120"/>
              <w:bottom w:type="dxa" w:w="110"/>
              <w:right w:type="dxa" w:w="120"/>
            </w:tcMar>
            <w:vAlign w:val="center"/>
          </w:tcPr>
          <w:p>
            <w:pPr>
              <w:jc w:val="center"/>
            </w:pPr>
            <w:r>
              <w:rPr>
                <w:b/>
                <w:bCs/>
                <w:color w:val="1D4ED8"/>
                <w:sz w:val="16"/>
                <w:szCs w:val="16"/>
              </w:rPr>
              <w:t xml:space="preserve">P2 — Later</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In a growing firm, work isn’t evenly spread — one senior accountant quietly carries twice the client load of another.</w:t>
            </w:r>
          </w:p>
          <w:p>
            <w:pPr>
              <w:spacing w:after="40" w:before="140"/>
            </w:pPr>
            <w:r>
              <w:rPr>
                <w:b/>
                <w:bCs/>
                <w:color w:val="0F7A54"/>
                <w:sz w:val="18"/>
                <w:szCs w:val="18"/>
              </w:rPr>
              <w:t xml:space="preserve">Solution</w:t>
            </w:r>
          </w:p>
          <w:p>
            <w:pPr>
              <w:spacing w:after="60" w:line="264"/>
            </w:pPr>
            <w:r>
              <w:rPr>
                <w:color w:val="4A5570"/>
                <w:sz w:val="20"/>
                <w:szCs w:val="20"/>
              </w:rPr>
              <w:t xml:space="preserve">Assign clients or filings to staff, and show a workload view alongside the deadline dashboard.</w:t>
            </w:r>
          </w:p>
          <w:p>
            <w:pPr>
              <w:spacing w:after="40" w:before="140"/>
            </w:pPr>
            <w:r>
              <w:rPr>
                <w:b/>
                <w:bCs/>
                <w:color w:val="1D4ED8"/>
                <w:sz w:val="18"/>
                <w:szCs w:val="18"/>
              </w:rPr>
              <w:t xml:space="preserve">How it works</w:t>
            </w:r>
          </w:p>
          <w:p>
            <w:pPr>
              <w:spacing w:after="60" w:line="264"/>
            </w:pPr>
            <w:r>
              <w:rPr>
                <w:color w:val="4A5570"/>
                <w:sz w:val="20"/>
                <w:szCs w:val="20"/>
              </w:rPr>
              <w:t xml:space="preserve">Built on the same task/step data already tracked for deadlines — a different view of existing data, not a new data model.</w:t>
            </w:r>
          </w:p>
        </w:tc>
      </w:tr>
    </w:tbl>
    <w:p>
      <w:pPr>
        <w:spacing w:after="160"/>
      </w:pPr>
    </w:p>
    <w:tbl>
      <w:tblPr>
        <w:tblW w:type="pct" w:w="100%"/>
        <w:tblBorders>
          <w:top w:val="single" w:color="D7DEEC" w:sz="4"/>
          <w:left w:val="single" w:color="D7DEEC" w:sz="4"/>
          <w:bottom w:val="single" w:color="D7DEEC" w:sz="4"/>
          <w:right w:val="single" w:color="D7DEEC" w:sz="4"/>
          <w:insideH w:val="single" w:color="D7DEEC" w:sz="4"/>
          <w:insideV w:val="none"/>
        </w:tblBorders>
      </w:tblPr>
      <w:tblGrid>
        <w:gridCol w:w="7600"/>
        <w:gridCol w:w="2200"/>
      </w:tblGrid>
      <w:tr>
        <w:tc>
          <w:tcPr>
            <w:gridSpan w:val="1"/>
            <w:shd w:fill="EFF3FA" w:val="clear"/>
            <w:tcMar>
              <w:top w:type="dxa" w:w="110"/>
              <w:left w:type="dxa" w:w="160"/>
              <w:bottom w:type="dxa" w:w="110"/>
              <w:right w:type="dxa" w:w="160"/>
            </w:tcMar>
          </w:tcPr>
          <w:p>
            <w:r>
              <w:rPr>
                <w:b/>
                <w:bCs/>
                <w:color w:val="1D4ED8"/>
                <w:sz w:val="22"/>
                <w:szCs w:val="22"/>
              </w:rPr>
              <w:t xml:space="preserve">18.  </w:t>
            </w:r>
            <w:r>
              <w:rPr>
                <w:b/>
                <w:bCs/>
                <w:color w:val="1B2437"/>
                <w:sz w:val="22"/>
                <w:szCs w:val="22"/>
              </w:rPr>
              <w:t xml:space="preserve">Notifications and daily digest</w:t>
            </w:r>
          </w:p>
        </w:tc>
        <w:tc>
          <w:tcPr>
            <w:tcW w:type="dxa" w:w="2200"/>
            <w:shd w:fill="E2EBFF" w:val="clear"/>
            <w:tcMar>
              <w:top w:type="dxa" w:w="110"/>
              <w:left w:type="dxa" w:w="120"/>
              <w:bottom w:type="dxa" w:w="110"/>
              <w:right w:type="dxa" w:w="120"/>
            </w:tcMar>
            <w:vAlign w:val="center"/>
          </w:tcPr>
          <w:p>
            <w:pPr>
              <w:jc w:val="center"/>
            </w:pPr>
            <w:r>
              <w:rPr>
                <w:b/>
                <w:bCs/>
                <w:color w:val="1D4ED8"/>
                <w:sz w:val="16"/>
                <w:szCs w:val="16"/>
              </w:rPr>
              <w:t xml:space="preserve">P2 — Later</w:t>
            </w:r>
          </w:p>
        </w:tc>
      </w:tr>
      <w:tr>
        <w:tc>
          <w:tcPr>
            <w:gridSpan w:val="2"/>
            <w:tcMar>
              <w:top w:type="dxa" w:w="120"/>
              <w:left w:type="dxa" w:w="180"/>
              <w:bottom w:type="dxa" w:w="140"/>
              <w:right w:type="dxa" w:w="180"/>
            </w:tcMar>
          </w:tcPr>
          <w:p>
            <w:pPr>
              <w:spacing w:after="40" w:before="0"/>
            </w:pPr>
            <w:r>
              <w:rPr>
                <w:b/>
                <w:bCs/>
                <w:color w:val="B3261E"/>
                <w:sz w:val="18"/>
                <w:szCs w:val="18"/>
              </w:rPr>
              <w:t xml:space="preserve">Pain point</w:t>
            </w:r>
          </w:p>
          <w:p>
            <w:pPr>
              <w:spacing w:after="60" w:line="264"/>
            </w:pPr>
            <w:r>
              <w:rPr>
                <w:color w:val="4A5570"/>
                <w:sz w:val="20"/>
                <w:szCs w:val="20"/>
              </w:rPr>
              <w:t xml:space="preserve">Staff shouldn’t need to open the dashboard constantly to know something needs their attention.</w:t>
            </w:r>
          </w:p>
          <w:p>
            <w:pPr>
              <w:spacing w:after="40" w:before="140"/>
            </w:pPr>
            <w:r>
              <w:rPr>
                <w:b/>
                <w:bCs/>
                <w:color w:val="0F7A54"/>
                <w:sz w:val="18"/>
                <w:szCs w:val="18"/>
              </w:rPr>
              <w:t xml:space="preserve">Solution</w:t>
            </w:r>
          </w:p>
          <w:p>
            <w:pPr>
              <w:spacing w:after="60" w:line="264"/>
            </w:pPr>
            <w:r>
              <w:rPr>
                <w:color w:val="4A5570"/>
                <w:sz w:val="20"/>
                <w:szCs w:val="20"/>
              </w:rPr>
              <w:t xml:space="preserve">A daily digest (email or in-app) summarising overnight activity: new documents received, items needing review, filings due soon.</w:t>
            </w:r>
          </w:p>
          <w:p>
            <w:pPr>
              <w:spacing w:after="40" w:before="140"/>
            </w:pPr>
            <w:r>
              <w:rPr>
                <w:b/>
                <w:bCs/>
                <w:color w:val="1D4ED8"/>
                <w:sz w:val="18"/>
                <w:szCs w:val="18"/>
              </w:rPr>
              <w:t xml:space="preserve">How it works</w:t>
            </w:r>
          </w:p>
          <w:p>
            <w:pPr>
              <w:spacing w:after="60" w:line="264"/>
            </w:pPr>
            <w:r>
              <w:rPr>
                <w:color w:val="4A5570"/>
                <w:sz w:val="20"/>
                <w:szCs w:val="20"/>
              </w:rPr>
              <w:t xml:space="preserve">A scheduled job compiles the same dashboard data into a digest at a time the firm chooses.</w:t>
            </w:r>
          </w:p>
        </w:tc>
      </w:tr>
    </w:tbl>
    <w:p>
      <w:pPr>
        <w:spacing w:after="160"/>
      </w:pPr>
    </w:p>
    <w:p>
      <w:pPr>
        <w:pStyle w:val="Heading3"/>
        <w:spacing w:after="80" w:before="200"/>
      </w:pPr>
      <w:r>
        <w:rPr>
          <w:b/>
          <w:bCs/>
          <w:color w:val="1B2437"/>
          <w:sz w:val="21"/>
          <w:szCs w:val="21"/>
        </w:rPr>
        <w:t xml:space="preserve">Feature priority summary</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2200"/>
        <w:gridCol w:w="1900"/>
        <w:gridCol w:w="53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Priority</w:t>
            </w:r>
          </w:p>
        </w:tc>
        <w:tc>
          <w:tcPr>
            <w:shd w:fill="F3F6FC" w:val="clear"/>
            <w:tcMar>
              <w:top w:type="dxa" w:w="100"/>
              <w:left w:type="dxa" w:w="120"/>
              <w:bottom w:type="dxa" w:w="100"/>
              <w:right w:type="dxa" w:w="120"/>
            </w:tcMar>
            <w:vAlign w:val="top"/>
          </w:tcPr>
          <w:p>
            <w:r>
              <w:rPr>
                <w:b/>
                <w:bCs/>
                <w:color w:val="1B2437"/>
                <w:sz w:val="19"/>
                <w:szCs w:val="19"/>
              </w:rPr>
              <w:t xml:space="preserve">Features</w:t>
            </w:r>
          </w:p>
        </w:tc>
        <w:tc>
          <w:tcPr>
            <w:shd w:fill="F3F6FC" w:val="clear"/>
            <w:tcMar>
              <w:top w:type="dxa" w:w="100"/>
              <w:left w:type="dxa" w:w="120"/>
              <w:bottom w:type="dxa" w:w="100"/>
              <w:right w:type="dxa" w:w="120"/>
            </w:tcMar>
            <w:vAlign w:val="top"/>
          </w:tcPr>
          <w:p>
            <w:r>
              <w:rPr>
                <w:b/>
                <w:bCs/>
                <w:color w:val="1B2437"/>
                <w:sz w:val="19"/>
                <w:szCs w:val="19"/>
              </w:rPr>
              <w:t xml:space="preserve">Reasoning</w:t>
            </w:r>
          </w:p>
        </w:tc>
      </w:tr>
      <w:tr>
        <w:tc>
          <w:tcPr>
            <w:tcMar>
              <w:top w:type="dxa" w:w="100"/>
              <w:left w:type="dxa" w:w="120"/>
              <w:bottom w:type="dxa" w:w="100"/>
              <w:right w:type="dxa" w:w="120"/>
            </w:tcMar>
            <w:vAlign w:val="top"/>
          </w:tcPr>
          <w:p>
            <w:r>
              <w:rPr>
                <w:b w:val="false"/>
                <w:bCs w:val="false"/>
                <w:color w:val="4A5570"/>
                <w:sz w:val="19"/>
                <w:szCs w:val="19"/>
              </w:rPr>
              <w:t xml:space="preserve">P0 — MVP</w:t>
            </w:r>
          </w:p>
        </w:tc>
        <w:tc>
          <w:tcPr>
            <w:tcMar>
              <w:top w:type="dxa" w:w="100"/>
              <w:left w:type="dxa" w:w="120"/>
              <w:bottom w:type="dxa" w:w="100"/>
              <w:right w:type="dxa" w:w="120"/>
            </w:tcMar>
            <w:vAlign w:val="top"/>
          </w:tcPr>
          <w:p>
            <w:r>
              <w:rPr>
                <w:b w:val="false"/>
                <w:bCs w:val="false"/>
                <w:color w:val="4A5570"/>
                <w:sz w:val="19"/>
                <w:szCs w:val="19"/>
              </w:rPr>
              <w:t xml:space="preserve">1–11</w:t>
            </w:r>
          </w:p>
        </w:tc>
        <w:tc>
          <w:tcPr>
            <w:tcMar>
              <w:top w:type="dxa" w:w="100"/>
              <w:left w:type="dxa" w:w="120"/>
              <w:bottom w:type="dxa" w:w="100"/>
              <w:right w:type="dxa" w:w="120"/>
            </w:tcMar>
            <w:vAlign w:val="top"/>
          </w:tcPr>
          <w:p>
            <w:r>
              <w:rPr>
                <w:b w:val="false"/>
                <w:bCs w:val="false"/>
                <w:color w:val="4A5570"/>
                <w:sz w:val="19"/>
                <w:szCs w:val="19"/>
              </w:rPr>
              <w:t xml:space="preserve">The complete core loop. Nothing here is optional — remove any one and the loop breaks.</w:t>
            </w:r>
          </w:p>
        </w:tc>
      </w:tr>
      <w:tr>
        <w:tc>
          <w:tcPr>
            <w:tcMar>
              <w:top w:type="dxa" w:w="100"/>
              <w:left w:type="dxa" w:w="120"/>
              <w:bottom w:type="dxa" w:w="100"/>
              <w:right w:type="dxa" w:w="120"/>
            </w:tcMar>
            <w:vAlign w:val="top"/>
          </w:tcPr>
          <w:p>
            <w:r>
              <w:rPr>
                <w:b w:val="false"/>
                <w:bCs w:val="false"/>
                <w:color w:val="4A5570"/>
                <w:sz w:val="19"/>
                <w:szCs w:val="19"/>
              </w:rPr>
              <w:t xml:space="preserve">P1 — Fast follow</w:t>
            </w:r>
          </w:p>
        </w:tc>
        <w:tc>
          <w:tcPr>
            <w:tcMar>
              <w:top w:type="dxa" w:w="100"/>
              <w:left w:type="dxa" w:w="120"/>
              <w:bottom w:type="dxa" w:w="100"/>
              <w:right w:type="dxa" w:w="120"/>
            </w:tcMar>
            <w:vAlign w:val="top"/>
          </w:tcPr>
          <w:p>
            <w:r>
              <w:rPr>
                <w:b w:val="false"/>
                <w:bCs w:val="false"/>
                <w:color w:val="4A5570"/>
                <w:sz w:val="19"/>
                <w:szCs w:val="19"/>
              </w:rPr>
              <w:t xml:space="preserve">12–15</w:t>
            </w:r>
          </w:p>
        </w:tc>
        <w:tc>
          <w:tcPr>
            <w:tcMar>
              <w:top w:type="dxa" w:w="100"/>
              <w:left w:type="dxa" w:w="120"/>
              <w:bottom w:type="dxa" w:w="100"/>
              <w:right w:type="dxa" w:w="120"/>
            </w:tcMar>
            <w:vAlign w:val="top"/>
          </w:tcPr>
          <w:p>
            <w:r>
              <w:rPr>
                <w:b w:val="false"/>
                <w:bCs w:val="false"/>
                <w:color w:val="4A5570"/>
                <w:sz w:val="19"/>
                <w:szCs w:val="19"/>
              </w:rPr>
              <w:t xml:space="preserve">Meaningfully increase value and stickiness once the core loop is proven with real firms.</w:t>
            </w:r>
          </w:p>
        </w:tc>
      </w:tr>
      <w:tr>
        <w:tc>
          <w:tcPr>
            <w:tcMar>
              <w:top w:type="dxa" w:w="100"/>
              <w:left w:type="dxa" w:w="120"/>
              <w:bottom w:type="dxa" w:w="100"/>
              <w:right w:type="dxa" w:w="120"/>
            </w:tcMar>
            <w:vAlign w:val="top"/>
          </w:tcPr>
          <w:p>
            <w:r>
              <w:rPr>
                <w:b w:val="false"/>
                <w:bCs w:val="false"/>
                <w:color w:val="4A5570"/>
                <w:sz w:val="19"/>
                <w:szCs w:val="19"/>
              </w:rPr>
              <w:t xml:space="preserve">P2 — Later</w:t>
            </w:r>
          </w:p>
        </w:tc>
        <w:tc>
          <w:tcPr>
            <w:tcMar>
              <w:top w:type="dxa" w:w="100"/>
              <w:left w:type="dxa" w:w="120"/>
              <w:bottom w:type="dxa" w:w="100"/>
              <w:right w:type="dxa" w:w="120"/>
            </w:tcMar>
            <w:vAlign w:val="top"/>
          </w:tcPr>
          <w:p>
            <w:r>
              <w:rPr>
                <w:b w:val="false"/>
                <w:bCs w:val="false"/>
                <w:color w:val="4A5570"/>
                <w:sz w:val="19"/>
                <w:szCs w:val="19"/>
              </w:rPr>
              <w:t xml:space="preserve">16–18</w:t>
            </w:r>
          </w:p>
        </w:tc>
        <w:tc>
          <w:tcPr>
            <w:tcMar>
              <w:top w:type="dxa" w:w="100"/>
              <w:left w:type="dxa" w:w="120"/>
              <w:bottom w:type="dxa" w:w="100"/>
              <w:right w:type="dxa" w:w="120"/>
            </w:tcMar>
            <w:vAlign w:val="top"/>
          </w:tcPr>
          <w:p>
            <w:r>
              <w:rPr>
                <w:b w:val="false"/>
                <w:bCs w:val="false"/>
                <w:color w:val="4A5570"/>
                <w:sz w:val="19"/>
                <w:szCs w:val="19"/>
              </w:rPr>
              <w:t xml:space="preserve">Matter for scaling to more countries and larger firms, not for proving the initial value.</w:t>
            </w:r>
          </w:p>
        </w:tc>
      </w:tr>
    </w:tbl>
    <w:p>
      <w:r>
        <w:br w:type="page"/>
      </w:r>
    </w:p>
    <w:p>
      <w:pPr>
        <w:pStyle w:val="Heading1"/>
        <w:spacing w:after="180" w:before="420"/>
      </w:pPr>
      <w:r>
        <w:rPr>
          <w:b/>
          <w:bCs/>
          <w:color w:val="1B2437"/>
          <w:sz w:val="30"/>
          <w:szCs w:val="30"/>
        </w:rPr>
        <w:t xml:space="preserve">8. The trust and accuracy model</w:t>
      </w:r>
    </w:p>
    <w:p>
      <w:pPr>
        <w:spacing w:after="120" w:line="276"/>
      </w:pPr>
      <w:r>
        <w:rPr>
          <w:b w:val="false"/>
          <w:bCs w:val="false"/>
          <w:i/>
          <w:iCs/>
          <w:color w:val="6B7690"/>
          <w:sz w:val="21"/>
          <w:szCs w:val="21"/>
        </w:rPr>
        <w:t xml:space="preserve">This is the section a skeptical accountant will read most carefully, so it gets its own space rather than being scattered across features.</w:t>
      </w:r>
    </w:p>
    <w:p>
      <w:pPr>
        <w:pStyle w:val="Heading3"/>
        <w:spacing w:after="80" w:before="200"/>
      </w:pPr>
      <w:r>
        <w:rPr>
          <w:b/>
          <w:bCs/>
          <w:color w:val="1B2437"/>
          <w:sz w:val="21"/>
          <w:szCs w:val="21"/>
        </w:rPr>
        <w:t xml:space="preserve">Three trust tiers</w:t>
      </w:r>
    </w:p>
    <w:p>
      <w:pPr>
        <w:pStyle w:val="ListParagraph"/>
        <w:numPr>
          <w:ilvl w:val="0"/>
          <w:numId w:val="2"/>
        </w:numPr>
        <w:spacing w:after="60" w:line="264"/>
      </w:pPr>
      <w:r>
        <w:rPr>
          <w:color w:val="4A5570"/>
          <w:sz w:val="21"/>
          <w:szCs w:val="21"/>
        </w:rPr>
        <w:t xml:space="preserve">Uncertain (AI-read): raw extraction from a document. Always shown with a confidence score and the source image. Never used downstream until approved.</w:t>
      </w:r>
    </w:p>
    <w:p>
      <w:pPr>
        <w:pStyle w:val="ListParagraph"/>
        <w:numPr>
          <w:ilvl w:val="0"/>
          <w:numId w:val="2"/>
        </w:numPr>
        <w:spacing w:after="60" w:line="264"/>
      </w:pPr>
      <w:r>
        <w:rPr>
          <w:color w:val="4A5570"/>
          <w:sz w:val="21"/>
          <w:szCs w:val="21"/>
        </w:rPr>
        <w:t xml:space="preserve">Confirmed (human-approved): a person has reviewed and approved the field. This is the only data that feeds into worksheets, exports or client-facing summaries.</w:t>
      </w:r>
    </w:p>
    <w:p>
      <w:pPr>
        <w:pStyle w:val="ListParagraph"/>
        <w:numPr>
          <w:ilvl w:val="0"/>
          <w:numId w:val="2"/>
        </w:numPr>
        <w:spacing w:after="60" w:line="264"/>
      </w:pPr>
      <w:r>
        <w:rPr>
          <w:color w:val="4A5570"/>
          <w:sz w:val="21"/>
          <w:szCs w:val="21"/>
        </w:rPr>
        <w:t xml:space="preserve">Deterministic (rule-calculated): totals, tax splits and box values, computed by fixed formulas from confirmed data — never estimated by a model.</w:t>
      </w:r>
    </w:p>
    <w:p>
      <w:pPr>
        <w:pStyle w:val="Heading3"/>
        <w:spacing w:after="80" w:before="200"/>
      </w:pPr>
      <w:r>
        <w:rPr>
          <w:b/>
          <w:bCs/>
          <w:color w:val="1B2437"/>
          <w:sz w:val="21"/>
          <w:szCs w:val="21"/>
        </w:rPr>
        <w:t xml:space="preserve">Rules we don’t break</w:t>
      </w:r>
    </w:p>
    <w:p>
      <w:pPr>
        <w:pStyle w:val="ListParagraph"/>
        <w:numPr>
          <w:ilvl w:val="0"/>
          <w:numId w:val="2"/>
        </w:numPr>
        <w:spacing w:after="60" w:line="264"/>
      </w:pPr>
      <w:r>
        <w:rPr>
          <w:color w:val="4A5570"/>
          <w:sz w:val="21"/>
          <w:szCs w:val="21"/>
        </w:rPr>
        <w:t xml:space="preserve">No message is ever sent, and no filing is ever generated, without an explicit approval step.</w:t>
      </w:r>
    </w:p>
    <w:p>
      <w:pPr>
        <w:pStyle w:val="ListParagraph"/>
        <w:numPr>
          <w:ilvl w:val="0"/>
          <w:numId w:val="2"/>
        </w:numPr>
        <w:spacing w:after="60" w:line="264"/>
      </w:pPr>
      <w:r>
        <w:rPr>
          <w:color w:val="4A5570"/>
          <w:sz w:val="21"/>
          <w:szCs w:val="21"/>
        </w:rPr>
        <w:t xml:space="preserve">No number in a worksheet is unsourced — every figure is clickable back to the document it came from.</w:t>
      </w:r>
    </w:p>
    <w:p>
      <w:pPr>
        <w:pStyle w:val="ListParagraph"/>
        <w:numPr>
          <w:ilvl w:val="0"/>
          <w:numId w:val="2"/>
        </w:numPr>
        <w:spacing w:after="60" w:line="264"/>
      </w:pPr>
      <w:r>
        <w:rPr>
          <w:color w:val="4A5570"/>
          <w:sz w:val="21"/>
          <w:szCs w:val="21"/>
        </w:rPr>
        <w:t xml:space="preserve">Accuracy is measured and published by document type and language, not asserted with one marketing number.</w:t>
      </w:r>
    </w:p>
    <w:p>
      <w:pPr>
        <w:pStyle w:val="ListParagraph"/>
        <w:numPr>
          <w:ilvl w:val="0"/>
          <w:numId w:val="2"/>
        </w:numPr>
        <w:spacing w:after="60" w:line="264"/>
      </w:pPr>
      <w:r>
        <w:rPr>
          <w:color w:val="4A5570"/>
          <w:sz w:val="21"/>
          <w:szCs w:val="21"/>
        </w:rPr>
        <w:t xml:space="preserve">The product never claims to "file" anything. It prepares; the licensed firm files.</w:t>
      </w:r>
    </w:p>
    <w:p>
      <w:pPr>
        <w:spacing w:after="120"/>
      </w:pPr>
    </w:p>
    <w:tbl>
      <w:tblPr>
        <w:tblW w:type="pct" w:w="100%"/>
        <w:tblBorders>
          <w:top w:val="single" w:color="8A5A00" w:sz="4"/>
          <w:left w:val="single" w:color="8A5A00" w:sz="20"/>
          <w:bottom w:val="single" w:color="8A5A00" w:sz="4"/>
          <w:right w:val="single" w:color="8A5A00" w:sz="4"/>
          <w:insideH w:val="none"/>
          <w:insideV w:val="none"/>
        </w:tblBorders>
      </w:tblPr>
      <w:tblGrid>
        <w:gridCol w:w="100"/>
      </w:tblGrid>
      <w:tr>
        <w:tc>
          <w:tcPr>
            <w:shd w:fill="FBEBCF" w:val="clear"/>
            <w:tcMar>
              <w:top w:type="dxa" w:w="160"/>
              <w:left w:type="dxa" w:w="220"/>
              <w:bottom w:type="dxa" w:w="160"/>
              <w:right w:type="dxa" w:w="220"/>
            </w:tcMar>
          </w:tcPr>
          <w:p>
            <w:pPr>
              <w:spacing w:after="40"/>
            </w:pPr>
            <w:r>
              <w:rPr>
                <w:b/>
                <w:bCs/>
                <w:color w:val="8A5A00"/>
                <w:sz w:val="20"/>
                <w:szCs w:val="20"/>
              </w:rPr>
              <w:t xml:space="preserve">RISK NOTE</w:t>
            </w:r>
          </w:p>
          <w:p>
            <w:pPr>
              <w:spacing w:after="0"/>
            </w:pPr>
            <w:r>
              <w:rPr>
                <w:color w:val="1B2437"/>
                <w:sz w:val="20"/>
                <w:szCs w:val="20"/>
              </w:rPr>
              <w:t xml:space="preserve">Getting this wrong is an existential risk, not a UX detail. A single wrongly-filed return traced back to an unreviewed AI extraction would be catastrophic for firm trust and for Taxflow’s reputation. Every design decision in this document defers to this section when in conflict.</w:t>
            </w:r>
          </w:p>
        </w:tc>
      </w:tr>
    </w:tbl>
    <w:p>
      <w:pPr>
        <w:pStyle w:val="Heading1"/>
        <w:spacing w:after="180" w:before="420"/>
      </w:pPr>
      <w:r>
        <w:rPr>
          <w:b/>
          <w:bCs/>
          <w:color w:val="1B2437"/>
          <w:sz w:val="30"/>
          <w:szCs w:val="30"/>
        </w:rPr>
        <w:t xml:space="preserve">9. Non-functional requirements</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2200"/>
        <w:gridCol w:w="70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Area</w:t>
            </w:r>
          </w:p>
        </w:tc>
        <w:tc>
          <w:tcPr>
            <w:shd w:fill="F3F6FC" w:val="clear"/>
            <w:tcMar>
              <w:top w:type="dxa" w:w="100"/>
              <w:left w:type="dxa" w:w="120"/>
              <w:bottom w:type="dxa" w:w="100"/>
              <w:right w:type="dxa" w:w="120"/>
            </w:tcMar>
            <w:vAlign w:val="top"/>
          </w:tcPr>
          <w:p>
            <w:r>
              <w:rPr>
                <w:b/>
                <w:bCs/>
                <w:color w:val="1B2437"/>
                <w:sz w:val="19"/>
                <w:szCs w:val="19"/>
              </w:rPr>
              <w:t xml:space="preserve">Requirement</w:t>
            </w:r>
          </w:p>
        </w:tc>
      </w:tr>
      <w:tr>
        <w:tc>
          <w:tcPr>
            <w:tcMar>
              <w:top w:type="dxa" w:w="100"/>
              <w:left w:type="dxa" w:w="120"/>
              <w:bottom w:type="dxa" w:w="100"/>
              <w:right w:type="dxa" w:w="120"/>
            </w:tcMar>
            <w:vAlign w:val="top"/>
          </w:tcPr>
          <w:p>
            <w:r>
              <w:rPr>
                <w:b w:val="false"/>
                <w:bCs w:val="false"/>
                <w:color w:val="4A5570"/>
                <w:sz w:val="19"/>
                <w:szCs w:val="19"/>
              </w:rPr>
              <w:t xml:space="preserve">Reliability</w:t>
            </w:r>
          </w:p>
        </w:tc>
        <w:tc>
          <w:tcPr>
            <w:tcMar>
              <w:top w:type="dxa" w:w="100"/>
              <w:left w:type="dxa" w:w="120"/>
              <w:bottom w:type="dxa" w:w="100"/>
              <w:right w:type="dxa" w:w="120"/>
            </w:tcMar>
            <w:vAlign w:val="top"/>
          </w:tcPr>
          <w:p>
            <w:r>
              <w:rPr>
                <w:b w:val="false"/>
                <w:bCs w:val="false"/>
                <w:color w:val="4A5570"/>
                <w:sz w:val="19"/>
                <w:szCs w:val="19"/>
              </w:rPr>
              <w:t xml:space="preserve">No inbound WhatsApp attachment is ever lost. Target 99.9% uptime for the collection hub, since a missed message directly costs the firm client trust.</w:t>
            </w:r>
          </w:p>
        </w:tc>
      </w:tr>
      <w:tr>
        <w:tc>
          <w:tcPr>
            <w:tcMar>
              <w:top w:type="dxa" w:w="100"/>
              <w:left w:type="dxa" w:w="120"/>
              <w:bottom w:type="dxa" w:w="100"/>
              <w:right w:type="dxa" w:w="120"/>
            </w:tcMar>
            <w:vAlign w:val="top"/>
          </w:tcPr>
          <w:p>
            <w:r>
              <w:rPr>
                <w:b w:val="false"/>
                <w:bCs w:val="false"/>
                <w:color w:val="4A5570"/>
                <w:sz w:val="19"/>
                <w:szCs w:val="19"/>
              </w:rPr>
              <w:t xml:space="preserve">Speed</w:t>
            </w:r>
          </w:p>
        </w:tc>
        <w:tc>
          <w:tcPr>
            <w:tcMar>
              <w:top w:type="dxa" w:w="100"/>
              <w:left w:type="dxa" w:w="120"/>
              <w:bottom w:type="dxa" w:w="100"/>
              <w:right w:type="dxa" w:w="120"/>
            </w:tcMar>
            <w:vAlign w:val="top"/>
          </w:tcPr>
          <w:p>
            <w:r>
              <w:rPr>
                <w:b w:val="false"/>
                <w:bCs w:val="false"/>
                <w:color w:val="4A5570"/>
                <w:sz w:val="19"/>
                <w:szCs w:val="19"/>
              </w:rPr>
              <w:t xml:space="preserve">Single-document extraction completes in under 30 seconds. Dashboard and review-queue pages load in under 2 seconds.</w:t>
            </w:r>
          </w:p>
        </w:tc>
      </w:tr>
      <w:tr>
        <w:tc>
          <w:tcPr>
            <w:tcMar>
              <w:top w:type="dxa" w:w="100"/>
              <w:left w:type="dxa" w:w="120"/>
              <w:bottom w:type="dxa" w:w="100"/>
              <w:right w:type="dxa" w:w="120"/>
            </w:tcMar>
            <w:vAlign w:val="top"/>
          </w:tcPr>
          <w:p>
            <w:r>
              <w:rPr>
                <w:b w:val="false"/>
                <w:bCs w:val="false"/>
                <w:color w:val="4A5570"/>
                <w:sz w:val="19"/>
                <w:szCs w:val="19"/>
              </w:rPr>
              <w:t xml:space="preserve">Security</w:t>
            </w:r>
          </w:p>
        </w:tc>
        <w:tc>
          <w:tcPr>
            <w:tcMar>
              <w:top w:type="dxa" w:w="100"/>
              <w:left w:type="dxa" w:w="120"/>
              <w:bottom w:type="dxa" w:w="100"/>
              <w:right w:type="dxa" w:w="120"/>
            </w:tcMar>
            <w:vAlign w:val="top"/>
          </w:tcPr>
          <w:p>
            <w:r>
              <w:rPr>
                <w:b w:val="false"/>
                <w:bCs w:val="false"/>
                <w:color w:val="4A5570"/>
                <w:sz w:val="19"/>
                <w:szCs w:val="19"/>
              </w:rPr>
              <w:t xml:space="preserve">Encryption in transit and at rest, per-firm data isolation, role-based access control, two-factor authentication, regular independent penetration testing.</w:t>
            </w:r>
          </w:p>
        </w:tc>
      </w:tr>
      <w:tr>
        <w:tc>
          <w:tcPr>
            <w:tcMar>
              <w:top w:type="dxa" w:w="100"/>
              <w:left w:type="dxa" w:w="120"/>
              <w:bottom w:type="dxa" w:w="100"/>
              <w:right w:type="dxa" w:w="120"/>
            </w:tcMar>
            <w:vAlign w:val="top"/>
          </w:tcPr>
          <w:p>
            <w:r>
              <w:rPr>
                <w:b w:val="false"/>
                <w:bCs w:val="false"/>
                <w:color w:val="4A5570"/>
                <w:sz w:val="19"/>
                <w:szCs w:val="19"/>
              </w:rPr>
              <w:t xml:space="preserve">Privacy</w:t>
            </w:r>
          </w:p>
        </w:tc>
        <w:tc>
          <w:tcPr>
            <w:tcMar>
              <w:top w:type="dxa" w:w="100"/>
              <w:left w:type="dxa" w:w="120"/>
              <w:bottom w:type="dxa" w:w="100"/>
              <w:right w:type="dxa" w:w="120"/>
            </w:tcMar>
            <w:vAlign w:val="top"/>
          </w:tcPr>
          <w:p>
            <w:r>
              <w:rPr>
                <w:b w:val="false"/>
                <w:bCs w:val="false"/>
                <w:color w:val="4A5570"/>
                <w:sz w:val="19"/>
                <w:szCs w:val="19"/>
              </w:rPr>
              <w:t xml:space="preserve">The firm is the data controller; Taxflow is the processor. A data processing agreement, breach notification process, and data export/deletion on request are baseline.</w:t>
            </w:r>
          </w:p>
        </w:tc>
      </w:tr>
      <w:tr>
        <w:tc>
          <w:tcPr>
            <w:tcMar>
              <w:top w:type="dxa" w:w="100"/>
              <w:left w:type="dxa" w:w="120"/>
              <w:bottom w:type="dxa" w:w="100"/>
              <w:right w:type="dxa" w:w="120"/>
            </w:tcMar>
            <w:vAlign w:val="top"/>
          </w:tcPr>
          <w:p>
            <w:r>
              <w:rPr>
                <w:b w:val="false"/>
                <w:bCs w:val="false"/>
                <w:color w:val="4A5570"/>
                <w:sz w:val="19"/>
                <w:szCs w:val="19"/>
              </w:rPr>
              <w:t xml:space="preserve">Data residency</w:t>
            </w:r>
          </w:p>
        </w:tc>
        <w:tc>
          <w:tcPr>
            <w:tcMar>
              <w:top w:type="dxa" w:w="100"/>
              <w:left w:type="dxa" w:w="120"/>
              <w:bottom w:type="dxa" w:w="100"/>
              <w:right w:type="dxa" w:w="120"/>
            </w:tcMar>
            <w:vAlign w:val="top"/>
          </w:tcPr>
          <w:p>
            <w:r>
              <w:rPr>
                <w:b w:val="false"/>
                <w:bCs w:val="false"/>
                <w:color w:val="4A5570"/>
                <w:sz w:val="19"/>
                <w:szCs w:val="19"/>
              </w:rPr>
              <w:t xml:space="preserve">Configurable per market — some jurisdictions require, or firms will demand, in-country or in-region storage for client financial data.</w:t>
            </w:r>
          </w:p>
        </w:tc>
      </w:tr>
      <w:tr>
        <w:tc>
          <w:tcPr>
            <w:tcMar>
              <w:top w:type="dxa" w:w="100"/>
              <w:left w:type="dxa" w:w="120"/>
              <w:bottom w:type="dxa" w:w="100"/>
              <w:right w:type="dxa" w:w="120"/>
            </w:tcMar>
            <w:vAlign w:val="top"/>
          </w:tcPr>
          <w:p>
            <w:r>
              <w:rPr>
                <w:b w:val="false"/>
                <w:bCs w:val="false"/>
                <w:color w:val="4A5570"/>
                <w:sz w:val="19"/>
                <w:szCs w:val="19"/>
              </w:rPr>
              <w:t xml:space="preserve">Localisation</w:t>
            </w:r>
          </w:p>
        </w:tc>
        <w:tc>
          <w:tcPr>
            <w:tcMar>
              <w:top w:type="dxa" w:w="100"/>
              <w:left w:type="dxa" w:w="120"/>
              <w:bottom w:type="dxa" w:w="100"/>
              <w:right w:type="dxa" w:w="120"/>
            </w:tcMar>
            <w:vAlign w:val="top"/>
          </w:tcPr>
          <w:p>
            <w:r>
              <w:rPr>
                <w:b w:val="false"/>
                <w:bCs w:val="false"/>
                <w:color w:val="4A5570"/>
                <w:sz w:val="19"/>
                <w:szCs w:val="19"/>
              </w:rPr>
              <w:t xml:space="preserve">Multi-language UI and message templates from the start; right-to-left layout support where needed.</w:t>
            </w:r>
          </w:p>
        </w:tc>
      </w:tr>
      <w:tr>
        <w:tc>
          <w:tcPr>
            <w:tcMar>
              <w:top w:type="dxa" w:w="100"/>
              <w:left w:type="dxa" w:w="120"/>
              <w:bottom w:type="dxa" w:w="100"/>
              <w:right w:type="dxa" w:w="120"/>
            </w:tcMar>
            <w:vAlign w:val="top"/>
          </w:tcPr>
          <w:p>
            <w:r>
              <w:rPr>
                <w:b w:val="false"/>
                <w:bCs w:val="false"/>
                <w:color w:val="4A5570"/>
                <w:sz w:val="19"/>
                <w:szCs w:val="19"/>
              </w:rPr>
              <w:t xml:space="preserve">Messaging compliance</w:t>
            </w:r>
          </w:p>
        </w:tc>
        <w:tc>
          <w:tcPr>
            <w:tcMar>
              <w:top w:type="dxa" w:w="100"/>
              <w:left w:type="dxa" w:w="120"/>
              <w:bottom w:type="dxa" w:w="100"/>
              <w:right w:type="dxa" w:w="120"/>
            </w:tcMar>
            <w:vAlign w:val="top"/>
          </w:tcPr>
          <w:p>
            <w:r>
              <w:rPr>
                <w:b w:val="false"/>
                <w:bCs w:val="false"/>
                <w:color w:val="4A5570"/>
                <w:sz w:val="19"/>
                <w:szCs w:val="19"/>
              </w:rPr>
              <w:t xml:space="preserve">Documented consent per contact, opt-out honoured immediately, only approved templates used outside live conversation windows.</w:t>
            </w:r>
          </w:p>
        </w:tc>
      </w:tr>
      <w:tr>
        <w:tc>
          <w:tcPr>
            <w:tcMar>
              <w:top w:type="dxa" w:w="100"/>
              <w:left w:type="dxa" w:w="120"/>
              <w:bottom w:type="dxa" w:w="100"/>
              <w:right w:type="dxa" w:w="120"/>
            </w:tcMar>
            <w:vAlign w:val="top"/>
          </w:tcPr>
          <w:p>
            <w:r>
              <w:rPr>
                <w:b w:val="false"/>
                <w:bCs w:val="false"/>
                <w:color w:val="4A5570"/>
                <w:sz w:val="19"/>
                <w:szCs w:val="19"/>
              </w:rPr>
              <w:t xml:space="preserve">Auditability</w:t>
            </w:r>
          </w:p>
        </w:tc>
        <w:tc>
          <w:tcPr>
            <w:tcMar>
              <w:top w:type="dxa" w:w="100"/>
              <w:left w:type="dxa" w:w="120"/>
              <w:bottom w:type="dxa" w:w="100"/>
              <w:right w:type="dxa" w:w="120"/>
            </w:tcMar>
            <w:vAlign w:val="top"/>
          </w:tcPr>
          <w:p>
            <w:r>
              <w:rPr>
                <w:b w:val="false"/>
                <w:bCs w:val="false"/>
                <w:color w:val="4A5570"/>
                <w:sz w:val="19"/>
                <w:szCs w:val="19"/>
              </w:rPr>
              <w:t xml:space="preserve">Every state-changing action logged with who/when/before/after, exportable on request.</w:t>
            </w:r>
          </w:p>
        </w:tc>
      </w:tr>
      <w:tr>
        <w:tc>
          <w:tcPr>
            <w:tcMar>
              <w:top w:type="dxa" w:w="100"/>
              <w:left w:type="dxa" w:w="120"/>
              <w:bottom w:type="dxa" w:w="100"/>
              <w:right w:type="dxa" w:w="120"/>
            </w:tcMar>
            <w:vAlign w:val="top"/>
          </w:tcPr>
          <w:p>
            <w:r>
              <w:rPr>
                <w:b w:val="false"/>
                <w:bCs w:val="false"/>
                <w:color w:val="4A5570"/>
                <w:sz w:val="19"/>
                <w:szCs w:val="19"/>
              </w:rPr>
              <w:t xml:space="preserve">Accessibility</w:t>
            </w:r>
          </w:p>
        </w:tc>
        <w:tc>
          <w:tcPr>
            <w:tcMar>
              <w:top w:type="dxa" w:w="100"/>
              <w:left w:type="dxa" w:w="120"/>
              <w:bottom w:type="dxa" w:w="100"/>
              <w:right w:type="dxa" w:w="120"/>
            </w:tcMar>
            <w:vAlign w:val="top"/>
          </w:tcPr>
          <w:p>
            <w:r>
              <w:rPr>
                <w:b w:val="false"/>
                <w:bCs w:val="false"/>
                <w:color w:val="4A5570"/>
                <w:sz w:val="19"/>
                <w:szCs w:val="19"/>
              </w:rPr>
              <w:t xml:space="preserve">Usable on a phone browser for approvals on the go; readable contrast and keyboard navigation on desktop.</w:t>
            </w:r>
          </w:p>
        </w:tc>
      </w:tr>
    </w:tbl>
    <w:p>
      <w:pPr>
        <w:pStyle w:val="Heading1"/>
        <w:spacing w:after="180" w:before="420"/>
      </w:pPr>
      <w:r>
        <w:rPr>
          <w:b/>
          <w:bCs/>
          <w:color w:val="1B2437"/>
          <w:sz w:val="30"/>
          <w:szCs w:val="30"/>
        </w:rPr>
        <w:t xml:space="preserve">10. Core data model</w:t>
      </w:r>
    </w:p>
    <w:p>
      <w:pPr>
        <w:spacing w:after="120" w:line="276"/>
      </w:pPr>
      <w:r>
        <w:rPr>
          <w:b w:val="false"/>
          <w:bCs w:val="false"/>
          <w:i w:val="false"/>
          <w:iCs w:val="false"/>
          <w:color w:val="4A5570"/>
          <w:sz w:val="21"/>
          <w:szCs w:val="21"/>
        </w:rPr>
        <w:t xml:space="preserve">Kept deliberately simple: everything hangs off Client and Document, because those are what an accountant actually thinks in.</w:t>
      </w:r>
    </w:p>
    <w:tbl>
      <w:tblPr>
        <w:tblW w:type="pct" w:w="100%"/>
        <w:tblBorders>
          <w:top w:val="single" w:color="D7DEEC" w:sz="4"/>
          <w:left w:val="single" w:color="D7DEEC" w:sz="4"/>
          <w:bottom w:val="single" w:color="D7DEEC" w:sz="4"/>
          <w:right w:val="single" w:color="D7DEEC" w:sz="4"/>
          <w:insideH w:val="none"/>
          <w:insideV w:val="none"/>
        </w:tblBorders>
      </w:tblPr>
      <w:tblGrid>
        <w:gridCol w:w="100"/>
      </w:tblGrid>
      <w:tr>
        <w:tc>
          <w:tcPr>
            <w:shd w:fill="0F1626" w:val="clear"/>
            <w:tcMar>
              <w:top w:type="dxa" w:w="160"/>
              <w:left w:type="dxa" w:w="200"/>
              <w:bottom w:type="dxa" w:w="160"/>
              <w:right w:type="dxa" w:w="200"/>
            </w:tcMar>
          </w:tcPr>
          <w:p>
            <w:pPr>
              <w:spacing w:after="20"/>
            </w:pPr>
            <w:r>
              <w:rPr>
                <w:rFonts w:ascii="Consolas" w:cs="Consolas" w:eastAsia="Consolas" w:hAnsi="Consolas"/>
                <w:color w:val="D9E4FF"/>
                <w:sz w:val="18"/>
                <w:szCs w:val="18"/>
              </w:rPr>
              <w:t xml:space="preserve">Firm</w:t>
            </w:r>
          </w:p>
          <w:p>
            <w:pPr>
              <w:spacing w:after="20"/>
            </w:pPr>
            <w:r>
              <w:rPr>
                <w:rFonts w:ascii="Consolas" w:cs="Consolas" w:eastAsia="Consolas" w:hAnsi="Consolas"/>
                <w:color w:val="D9E4FF"/>
                <w:sz w:val="18"/>
                <w:szCs w:val="18"/>
              </w:rPr>
              <w:t xml:space="preserve">  └─ Users (role: owner / senior / junior / read-only)</w:t>
            </w:r>
          </w:p>
          <w:p>
            <w:pPr>
              <w:spacing w:after="20"/>
            </w:pPr>
            <w:r>
              <w:rPr>
                <w:rFonts w:ascii="Consolas" w:cs="Consolas" w:eastAsia="Consolas" w:hAnsi="Consolas"/>
                <w:color w:val="D9E4FF"/>
                <w:sz w:val="18"/>
                <w:szCs w:val="18"/>
              </w:rPr>
              <w:t xml:space="preserve">  └─ Client</w:t>
            </w:r>
          </w:p>
          <w:p>
            <w:pPr>
              <w:spacing w:after="20"/>
            </w:pPr>
            <w:r>
              <w:rPr>
                <w:rFonts w:ascii="Consolas" w:cs="Consolas" w:eastAsia="Consolas" w:hAnsi="Consolas"/>
                <w:color w:val="D9E4FF"/>
                <w:sz w:val="18"/>
                <w:szCs w:val="18"/>
              </w:rPr>
              <w:t xml:space="preserve">      ├─ Contact (channel, language, consent status)</w:t>
            </w:r>
          </w:p>
          <w:p>
            <w:pPr>
              <w:spacing w:after="20"/>
            </w:pPr>
            <w:r>
              <w:rPr>
                <w:rFonts w:ascii="Consolas" w:cs="Consolas" w:eastAsia="Consolas" w:hAnsi="Consolas"/>
                <w:color w:val="D9E4FF"/>
                <w:sz w:val="18"/>
                <w:szCs w:val="18"/>
              </w:rPr>
              <w:t xml:space="preserve">      ├─ Filing Obligation (type, frequency, jurisdiction rules)</w:t>
            </w:r>
          </w:p>
          <w:p>
            <w:pPr>
              <w:spacing w:after="20"/>
            </w:pPr>
            <w:r>
              <w:rPr>
                <w:rFonts w:ascii="Consolas" w:cs="Consolas" w:eastAsia="Consolas" w:hAnsi="Consolas"/>
                <w:color w:val="D9E4FF"/>
                <w:sz w:val="18"/>
                <w:szCs w:val="18"/>
              </w:rPr>
              <w:t xml:space="preserve">      ├─ Checklist (per period) ── Request (message sent) ── Message (thread)</w:t>
            </w:r>
          </w:p>
          <w:p>
            <w:pPr>
              <w:spacing w:after="20"/>
            </w:pPr>
            <w:r>
              <w:rPr>
                <w:rFonts w:ascii="Consolas" w:cs="Consolas" w:eastAsia="Consolas" w:hAnsi="Consolas"/>
                <w:color w:val="D9E4FF"/>
                <w:sz w:val="18"/>
                <w:szCs w:val="18"/>
              </w:rPr>
              <w:t xml:space="preserve">      ├─ Document (raw file, status: received → extracting → review → approved)</w:t>
            </w:r>
          </w:p>
          <w:p>
            <w:pPr>
              <w:spacing w:after="20"/>
            </w:pPr>
            <w:r>
              <w:rPr>
                <w:rFonts w:ascii="Consolas" w:cs="Consolas" w:eastAsia="Consolas" w:hAnsi="Consolas"/>
                <w:color w:val="D9E4FF"/>
                <w:sz w:val="18"/>
                <w:szCs w:val="18"/>
              </w:rPr>
              <w:t xml:space="preserve">      │    └─ Extraction (fields, confidence per field, edit history)</w:t>
            </w:r>
          </w:p>
          <w:p>
            <w:pPr>
              <w:spacing w:after="20"/>
            </w:pPr>
            <w:r>
              <w:rPr>
                <w:rFonts w:ascii="Consolas" w:cs="Consolas" w:eastAsia="Consolas" w:hAnsi="Consolas"/>
                <w:color w:val="D9E4FF"/>
                <w:sz w:val="18"/>
                <w:szCs w:val="18"/>
              </w:rPr>
              <w:t xml:space="preserve">      ├─ Task (a filing: steps, due date, status, assignee)</w:t>
            </w:r>
          </w:p>
          <w:p>
            <w:pPr>
              <w:spacing w:after="20"/>
            </w:pPr>
            <w:r>
              <w:rPr>
                <w:rFonts w:ascii="Consolas" w:cs="Consolas" w:eastAsia="Consolas" w:hAnsi="Consolas"/>
                <w:color w:val="D9E4FF"/>
                <w:sz w:val="18"/>
                <w:szCs w:val="18"/>
              </w:rPr>
              <w:t xml:space="preserve">      └─ Output (worksheet or export file, linked to source Documents)</w:t>
            </w:r>
          </w:p>
          <w:p>
            <w:pPr>
              <w:spacing w:after="20"/>
            </w:pPr>
            <w:r>
              <w:rPr>
                <w:rFonts w:ascii="Consolas" w:cs="Consolas" w:eastAsia="Consolas" w:hAnsi="Consolas"/>
                <w:color w:val="D9E4FF"/>
                <w:sz w:val="18"/>
                <w:szCs w:val="18"/>
              </w:rPr>
              <w:t xml:space="preserve">AuditEvent (actor, action, entity, before, after, timestamp)</w:t>
            </w:r>
          </w:p>
        </w:tc>
      </w:tr>
    </w:tbl>
    <w:p>
      <w:pPr>
        <w:spacing w:after="120"/>
      </w:pPr>
    </w:p>
    <w:p>
      <w:pPr>
        <w:spacing w:after="120" w:line="276"/>
      </w:pPr>
      <w:r>
        <w:rPr>
          <w:b w:val="false"/>
          <w:bCs w:val="false"/>
          <w:i w:val="false"/>
          <w:iCs w:val="false"/>
          <w:color w:val="4A5570"/>
          <w:sz w:val="21"/>
          <w:szCs w:val="21"/>
        </w:rPr>
        <w:t xml:space="preserve">Two design choices matter most here. First, Document and Extraction are separate records, so the original file and the AI’s reading of it are never conflated — you can always see both. Second, Output always links back to the Documents behind it, so "where did this number come from" is a data relationship, not a manual lookup.</w:t>
      </w:r>
    </w:p>
    <w:p>
      <w:pPr>
        <w:pStyle w:val="Heading1"/>
        <w:spacing w:after="180" w:before="420"/>
      </w:pPr>
      <w:r>
        <w:rPr>
          <w:b/>
          <w:bCs/>
          <w:color w:val="1B2437"/>
          <w:sz w:val="30"/>
          <w:szCs w:val="30"/>
        </w:rPr>
        <w:t xml:space="preserve">11. Architecture at a glance</w:t>
      </w:r>
    </w:p>
    <w:p>
      <w:pPr>
        <w:pStyle w:val="Heading3"/>
        <w:spacing w:after="80" w:before="200"/>
      </w:pPr>
      <w:r>
        <w:rPr>
          <w:b/>
          <w:bCs/>
          <w:color w:val="1B2437"/>
          <w:sz w:val="21"/>
          <w:szCs w:val="21"/>
        </w:rPr>
        <w:t xml:space="preserve">Major components</w:t>
      </w:r>
    </w:p>
    <w:p>
      <w:pPr>
        <w:pStyle w:val="ListParagraph"/>
        <w:numPr>
          <w:ilvl w:val="0"/>
          <w:numId w:val="2"/>
        </w:numPr>
        <w:spacing w:after="60" w:line="264"/>
      </w:pPr>
      <w:r>
        <w:rPr>
          <w:color w:val="4A5570"/>
          <w:sz w:val="21"/>
          <w:szCs w:val="21"/>
        </w:rPr>
        <w:t xml:space="preserve">Web application — the firm’s workspace (dashboard, review queue, deadlines, worksheets).</w:t>
      </w:r>
    </w:p>
    <w:p>
      <w:pPr>
        <w:pStyle w:val="ListParagraph"/>
        <w:numPr>
          <w:ilvl w:val="0"/>
          <w:numId w:val="2"/>
        </w:numPr>
        <w:spacing w:after="60" w:line="264"/>
      </w:pPr>
      <w:r>
        <w:rPr>
          <w:color w:val="4A5570"/>
          <w:sz w:val="21"/>
          <w:szCs w:val="21"/>
        </w:rPr>
        <w:t xml:space="preserve">Messaging service — integrates with the WhatsApp Business Platform via a licensed provider; handles templates, consent, inbound webhooks.</w:t>
      </w:r>
    </w:p>
    <w:p>
      <w:pPr>
        <w:pStyle w:val="ListParagraph"/>
        <w:numPr>
          <w:ilvl w:val="0"/>
          <w:numId w:val="2"/>
        </w:numPr>
        <w:spacing w:after="60" w:line="264"/>
      </w:pPr>
      <w:r>
        <w:rPr>
          <w:color w:val="4A5570"/>
          <w:sz w:val="21"/>
          <w:szCs w:val="21"/>
        </w:rPr>
        <w:t xml:space="preserve">Ingestion pipeline — validates incoming files, deduplicates, queues for extraction.</w:t>
      </w:r>
    </w:p>
    <w:p>
      <w:pPr>
        <w:pStyle w:val="ListParagraph"/>
        <w:numPr>
          <w:ilvl w:val="0"/>
          <w:numId w:val="2"/>
        </w:numPr>
        <w:spacing w:after="60" w:line="264"/>
      </w:pPr>
      <w:r>
        <w:rPr>
          <w:color w:val="4A5570"/>
          <w:sz w:val="21"/>
          <w:szCs w:val="21"/>
        </w:rPr>
        <w:t xml:space="preserve">Extraction service — OCR plus document-understanding model, with rule-based validation layered on top.</w:t>
      </w:r>
    </w:p>
    <w:p>
      <w:pPr>
        <w:pStyle w:val="ListParagraph"/>
        <w:numPr>
          <w:ilvl w:val="0"/>
          <w:numId w:val="2"/>
        </w:numPr>
        <w:spacing w:after="60" w:line="264"/>
      </w:pPr>
      <w:r>
        <w:rPr>
          <w:color w:val="4A5570"/>
          <w:sz w:val="21"/>
          <w:szCs w:val="21"/>
        </w:rPr>
        <w:t xml:space="preserve">Rules engine — per-jurisdiction filing calendars, invoice field requirements, and worksheet/export mappings (the "country pack").</w:t>
      </w:r>
    </w:p>
    <w:p>
      <w:pPr>
        <w:pStyle w:val="ListParagraph"/>
        <w:numPr>
          <w:ilvl w:val="0"/>
          <w:numId w:val="2"/>
        </w:numPr>
        <w:spacing w:after="60" w:line="264"/>
      </w:pPr>
      <w:r>
        <w:rPr>
          <w:color w:val="4A5570"/>
          <w:sz w:val="21"/>
          <w:szCs w:val="21"/>
        </w:rPr>
        <w:t xml:space="preserve">Vault — encrypted document storage, organised automatically by client/year/month/bucket.</w:t>
      </w:r>
    </w:p>
    <w:p>
      <w:pPr>
        <w:pStyle w:val="ListParagraph"/>
        <w:numPr>
          <w:ilvl w:val="0"/>
          <w:numId w:val="2"/>
        </w:numPr>
        <w:spacing w:after="60" w:line="264"/>
      </w:pPr>
      <w:r>
        <w:rPr>
          <w:color w:val="4A5570"/>
          <w:sz w:val="21"/>
          <w:szCs w:val="21"/>
        </w:rPr>
        <w:t xml:space="preserve">Export/integration layer — format converters and API connectors to third-party ledgers.</w:t>
      </w:r>
    </w:p>
    <w:p>
      <w:pPr>
        <w:pStyle w:val="ListParagraph"/>
        <w:numPr>
          <w:ilvl w:val="0"/>
          <w:numId w:val="2"/>
        </w:numPr>
        <w:spacing w:after="60" w:line="264"/>
      </w:pPr>
      <w:r>
        <w:rPr>
          <w:color w:val="4A5570"/>
          <w:sz w:val="21"/>
          <w:szCs w:val="21"/>
        </w:rPr>
        <w:t xml:space="preserve">Audit and billing services.</w:t>
      </w:r>
    </w:p>
    <w:p>
      <w:pPr>
        <w:pStyle w:val="Heading3"/>
        <w:spacing w:after="80" w:before="200"/>
      </w:pPr>
      <w:r>
        <w:rPr>
          <w:b/>
          <w:bCs/>
          <w:color w:val="1B2437"/>
          <w:sz w:val="21"/>
          <w:szCs w:val="21"/>
        </w:rPr>
        <w:t xml:space="preserve">Key architectural decisions</w:t>
      </w:r>
    </w:p>
    <w:p>
      <w:pPr>
        <w:pStyle w:val="ListParagraph"/>
        <w:numPr>
          <w:ilvl w:val="0"/>
          <w:numId w:val="2"/>
        </w:numPr>
        <w:spacing w:after="60" w:line="264"/>
      </w:pPr>
      <w:r>
        <w:rPr>
          <w:color w:val="4A5570"/>
          <w:sz w:val="21"/>
          <w:szCs w:val="21"/>
        </w:rPr>
        <w:t xml:space="preserve">Extraction and calculation are separate services. One is probabilistic (AI), the other deterministic (rules). Mixing them would make every number in the product only as trustworthy as the least reliable part.</w:t>
      </w:r>
    </w:p>
    <w:p>
      <w:pPr>
        <w:pStyle w:val="ListParagraph"/>
        <w:numPr>
          <w:ilvl w:val="0"/>
          <w:numId w:val="2"/>
        </w:numPr>
        <w:spacing w:after="60" w:line="264"/>
      </w:pPr>
      <w:r>
        <w:rPr>
          <w:color w:val="4A5570"/>
          <w:sz w:val="21"/>
          <w:szCs w:val="21"/>
        </w:rPr>
        <w:t xml:space="preserve">Buy the commodity, build the workflow. Messaging infrastructure, OCR baselines and cloud hosting are bought. The firm-specific workflow is what we build and defend.</w:t>
      </w:r>
    </w:p>
    <w:p>
      <w:pPr>
        <w:pStyle w:val="ListParagraph"/>
        <w:numPr>
          <w:ilvl w:val="0"/>
          <w:numId w:val="2"/>
        </w:numPr>
        <w:spacing w:after="60" w:line="264"/>
      </w:pPr>
      <w:r>
        <w:rPr>
          <w:color w:val="4A5570"/>
          <w:sz w:val="21"/>
          <w:szCs w:val="21"/>
        </w:rPr>
        <w:t xml:space="preserve">Don’t become a regulated party. Where a role requires formal accreditation, Taxflow integrates with an accredited partner rather than seeking that accreditation itself in the early stages.</w:t>
      </w:r>
    </w:p>
    <w:p>
      <w:pPr>
        <w:pStyle w:val="ListParagraph"/>
        <w:numPr>
          <w:ilvl w:val="0"/>
          <w:numId w:val="2"/>
        </w:numPr>
        <w:spacing w:after="60" w:line="264"/>
      </w:pPr>
      <w:r>
        <w:rPr>
          <w:color w:val="4A5570"/>
          <w:sz w:val="21"/>
          <w:szCs w:val="21"/>
        </w:rPr>
        <w:t xml:space="preserve">Country packs, not forks. Expanding to a new market means adding a configuration pack, not maintaining a separate codebase.</w:t>
      </w:r>
    </w:p>
    <w:p>
      <w:pPr>
        <w:pStyle w:val="Heading1"/>
        <w:spacing w:after="180" w:before="420"/>
      </w:pPr>
      <w:r>
        <w:rPr>
          <w:b/>
          <w:bCs/>
          <w:color w:val="1B2437"/>
          <w:sz w:val="30"/>
          <w:szCs w:val="30"/>
        </w:rPr>
        <w:t xml:space="preserve">12. Release plan</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2200"/>
        <w:gridCol w:w="3800"/>
        <w:gridCol w:w="32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Release</w:t>
            </w:r>
          </w:p>
        </w:tc>
        <w:tc>
          <w:tcPr>
            <w:shd w:fill="F3F6FC" w:val="clear"/>
            <w:tcMar>
              <w:top w:type="dxa" w:w="100"/>
              <w:left w:type="dxa" w:w="120"/>
              <w:bottom w:type="dxa" w:w="100"/>
              <w:right w:type="dxa" w:w="120"/>
            </w:tcMar>
            <w:vAlign w:val="top"/>
          </w:tcPr>
          <w:p>
            <w:r>
              <w:rPr>
                <w:b/>
                <w:bCs/>
                <w:color w:val="1B2437"/>
                <w:sz w:val="19"/>
                <w:szCs w:val="19"/>
              </w:rPr>
              <w:t xml:space="preserve">Contains</w:t>
            </w:r>
          </w:p>
        </w:tc>
        <w:tc>
          <w:tcPr>
            <w:shd w:fill="F3F6FC" w:val="clear"/>
            <w:tcMar>
              <w:top w:type="dxa" w:w="100"/>
              <w:left w:type="dxa" w:w="120"/>
              <w:bottom w:type="dxa" w:w="100"/>
              <w:right w:type="dxa" w:w="120"/>
            </w:tcMar>
            <w:vAlign w:val="top"/>
          </w:tcPr>
          <w:p>
            <w:r>
              <w:rPr>
                <w:b/>
                <w:bCs/>
                <w:color w:val="1B2437"/>
                <w:sz w:val="19"/>
                <w:szCs w:val="19"/>
              </w:rPr>
              <w:t xml:space="preserve">Goal</w:t>
            </w:r>
          </w:p>
        </w:tc>
      </w:tr>
      <w:tr>
        <w:tc>
          <w:tcPr>
            <w:tcMar>
              <w:top w:type="dxa" w:w="100"/>
              <w:left w:type="dxa" w:w="120"/>
              <w:bottom w:type="dxa" w:w="100"/>
              <w:right w:type="dxa" w:w="120"/>
            </w:tcMar>
            <w:vAlign w:val="top"/>
          </w:tcPr>
          <w:p>
            <w:r>
              <w:rPr>
                <w:b w:val="false"/>
                <w:bCs w:val="false"/>
                <w:color w:val="4A5570"/>
                <w:sz w:val="19"/>
                <w:szCs w:val="19"/>
              </w:rPr>
              <w:t xml:space="preserve">Alpha (design partners)</w:t>
            </w:r>
          </w:p>
        </w:tc>
        <w:tc>
          <w:tcPr>
            <w:tcMar>
              <w:top w:type="dxa" w:w="100"/>
              <w:left w:type="dxa" w:w="120"/>
              <w:bottom w:type="dxa" w:w="100"/>
              <w:right w:type="dxa" w:w="120"/>
            </w:tcMar>
            <w:vAlign w:val="top"/>
          </w:tcPr>
          <w:p>
            <w:r>
              <w:rPr>
                <w:b w:val="false"/>
                <w:bCs w:val="false"/>
                <w:color w:val="4A5570"/>
                <w:sz w:val="19"/>
                <w:szCs w:val="19"/>
              </w:rPr>
              <w:t xml:space="preserve">Features 1–11 (the full P0 core loop), one jurisdiction</w:t>
            </w:r>
          </w:p>
        </w:tc>
        <w:tc>
          <w:tcPr>
            <w:tcMar>
              <w:top w:type="dxa" w:w="100"/>
              <w:left w:type="dxa" w:w="120"/>
              <w:bottom w:type="dxa" w:w="100"/>
              <w:right w:type="dxa" w:w="120"/>
            </w:tcMar>
            <w:vAlign w:val="top"/>
          </w:tcPr>
          <w:p>
            <w:r>
              <w:rPr>
                <w:b w:val="false"/>
                <w:bCs w:val="false"/>
                <w:color w:val="4A5570"/>
                <w:sz w:val="19"/>
                <w:szCs w:val="19"/>
              </w:rPr>
              <w:t xml:space="preserve">Prove the loop works end to end with real firms and real clients</w:t>
            </w:r>
          </w:p>
        </w:tc>
      </w:tr>
      <w:tr>
        <w:tc>
          <w:tcPr>
            <w:tcMar>
              <w:top w:type="dxa" w:w="100"/>
              <w:left w:type="dxa" w:w="120"/>
              <w:bottom w:type="dxa" w:w="100"/>
              <w:right w:type="dxa" w:w="120"/>
            </w:tcMar>
            <w:vAlign w:val="top"/>
          </w:tcPr>
          <w:p>
            <w:r>
              <w:rPr>
                <w:b w:val="false"/>
                <w:bCs w:val="false"/>
                <w:color w:val="4A5570"/>
                <w:sz w:val="19"/>
                <w:szCs w:val="19"/>
              </w:rPr>
              <w:t xml:space="preserve">v1.0 (paid launch)</w:t>
            </w:r>
          </w:p>
        </w:tc>
        <w:tc>
          <w:tcPr>
            <w:tcMar>
              <w:top w:type="dxa" w:w="100"/>
              <w:left w:type="dxa" w:w="120"/>
              <w:bottom w:type="dxa" w:w="100"/>
              <w:right w:type="dxa" w:w="120"/>
            </w:tcMar>
            <w:vAlign w:val="top"/>
          </w:tcPr>
          <w:p>
            <w:r>
              <w:rPr>
                <w:b w:val="false"/>
                <w:bCs w:val="false"/>
                <w:color w:val="4A5570"/>
                <w:sz w:val="19"/>
                <w:szCs w:val="19"/>
              </w:rPr>
              <w:t xml:space="preserve">Alpha feature set, hardened, plus billing and onboarding</w:t>
            </w:r>
          </w:p>
        </w:tc>
        <w:tc>
          <w:tcPr>
            <w:tcMar>
              <w:top w:type="dxa" w:w="100"/>
              <w:left w:type="dxa" w:w="120"/>
              <w:bottom w:type="dxa" w:w="100"/>
              <w:right w:type="dxa" w:w="120"/>
            </w:tcMar>
            <w:vAlign w:val="top"/>
          </w:tcPr>
          <w:p>
            <w:r>
              <w:rPr>
                <w:b w:val="false"/>
                <w:bCs w:val="false"/>
                <w:color w:val="4A5570"/>
                <w:sz w:val="19"/>
                <w:szCs w:val="19"/>
              </w:rPr>
              <w:t xml:space="preserve">First paying firms, validate willingness to pay</w:t>
            </w:r>
          </w:p>
        </w:tc>
      </w:tr>
      <w:tr>
        <w:tc>
          <w:tcPr>
            <w:tcMar>
              <w:top w:type="dxa" w:w="100"/>
              <w:left w:type="dxa" w:w="120"/>
              <w:bottom w:type="dxa" w:w="100"/>
              <w:right w:type="dxa" w:w="120"/>
            </w:tcMar>
            <w:vAlign w:val="top"/>
          </w:tcPr>
          <w:p>
            <w:r>
              <w:rPr>
                <w:b w:val="false"/>
                <w:bCs w:val="false"/>
                <w:color w:val="4A5570"/>
                <w:sz w:val="19"/>
                <w:szCs w:val="19"/>
              </w:rPr>
              <w:t xml:space="preserve">v1.1</w:t>
            </w:r>
          </w:p>
        </w:tc>
        <w:tc>
          <w:tcPr>
            <w:tcMar>
              <w:top w:type="dxa" w:w="100"/>
              <w:left w:type="dxa" w:w="120"/>
              <w:bottom w:type="dxa" w:w="100"/>
              <w:right w:type="dxa" w:w="120"/>
            </w:tcMar>
            <w:vAlign w:val="top"/>
          </w:tcPr>
          <w:p>
            <w:r>
              <w:rPr>
                <w:b w:val="false"/>
                <w:bCs w:val="false"/>
                <w:color w:val="4A5570"/>
                <w:sz w:val="19"/>
                <w:szCs w:val="19"/>
              </w:rPr>
              <w:t xml:space="preserve">Conversational assistant (12), client portal (13)</w:t>
            </w:r>
          </w:p>
        </w:tc>
        <w:tc>
          <w:tcPr>
            <w:tcMar>
              <w:top w:type="dxa" w:w="100"/>
              <w:left w:type="dxa" w:w="120"/>
              <w:bottom w:type="dxa" w:w="100"/>
              <w:right w:type="dxa" w:w="120"/>
            </w:tcMar>
            <w:vAlign w:val="top"/>
          </w:tcPr>
          <w:p>
            <w:r>
              <w:rPr>
                <w:b w:val="false"/>
                <w:bCs w:val="false"/>
                <w:color w:val="4A5570"/>
                <w:sz w:val="19"/>
                <w:szCs w:val="19"/>
              </w:rPr>
              <w:t xml:space="preserve">Reduce time-to-value and support more client preferences</w:t>
            </w:r>
          </w:p>
        </w:tc>
      </w:tr>
      <w:tr>
        <w:tc>
          <w:tcPr>
            <w:tcMar>
              <w:top w:type="dxa" w:w="100"/>
              <w:left w:type="dxa" w:w="120"/>
              <w:bottom w:type="dxa" w:w="100"/>
              <w:right w:type="dxa" w:w="120"/>
            </w:tcMar>
            <w:vAlign w:val="top"/>
          </w:tcPr>
          <w:p>
            <w:r>
              <w:rPr>
                <w:b w:val="false"/>
                <w:bCs w:val="false"/>
                <w:color w:val="4A5570"/>
                <w:sz w:val="19"/>
                <w:szCs w:val="19"/>
              </w:rPr>
              <w:t xml:space="preserve">v1.2</w:t>
            </w:r>
          </w:p>
        </w:tc>
        <w:tc>
          <w:tcPr>
            <w:tcMar>
              <w:top w:type="dxa" w:w="100"/>
              <w:left w:type="dxa" w:w="120"/>
              <w:bottom w:type="dxa" w:w="100"/>
              <w:right w:type="dxa" w:w="120"/>
            </w:tcMar>
            <w:vAlign w:val="top"/>
          </w:tcPr>
          <w:p>
            <w:r>
              <w:rPr>
                <w:b w:val="false"/>
                <w:bCs w:val="false"/>
                <w:color w:val="4A5570"/>
                <w:sz w:val="19"/>
                <w:szCs w:val="19"/>
              </w:rPr>
              <w:t xml:space="preserve">Bank statement parsing (14), e-invoicing readiness (15)</w:t>
            </w:r>
          </w:p>
        </w:tc>
        <w:tc>
          <w:tcPr>
            <w:tcMar>
              <w:top w:type="dxa" w:w="100"/>
              <w:left w:type="dxa" w:w="120"/>
              <w:bottom w:type="dxa" w:w="100"/>
              <w:right w:type="dxa" w:w="120"/>
            </w:tcMar>
            <w:vAlign w:val="top"/>
          </w:tcPr>
          <w:p>
            <w:r>
              <w:rPr>
                <w:b w:val="false"/>
                <w:bCs w:val="false"/>
                <w:color w:val="4A5570"/>
                <w:sz w:val="19"/>
                <w:szCs w:val="19"/>
              </w:rPr>
              <w:t xml:space="preserve">Extend the loop further into bookkeeping and compliance readiness</w:t>
            </w:r>
          </w:p>
        </w:tc>
      </w:tr>
      <w:tr>
        <w:tc>
          <w:tcPr>
            <w:tcMar>
              <w:top w:type="dxa" w:w="100"/>
              <w:left w:type="dxa" w:w="120"/>
              <w:bottom w:type="dxa" w:w="100"/>
              <w:right w:type="dxa" w:w="120"/>
            </w:tcMar>
            <w:vAlign w:val="top"/>
          </w:tcPr>
          <w:p>
            <w:r>
              <w:rPr>
                <w:b w:val="false"/>
                <w:bCs w:val="false"/>
                <w:color w:val="4A5570"/>
                <w:sz w:val="19"/>
                <w:szCs w:val="19"/>
              </w:rPr>
              <w:t xml:space="preserve">v2.0</w:t>
            </w:r>
          </w:p>
        </w:tc>
        <w:tc>
          <w:tcPr>
            <w:tcMar>
              <w:top w:type="dxa" w:w="100"/>
              <w:left w:type="dxa" w:w="120"/>
              <w:bottom w:type="dxa" w:w="100"/>
              <w:right w:type="dxa" w:w="120"/>
            </w:tcMar>
            <w:vAlign w:val="top"/>
          </w:tcPr>
          <w:p>
            <w:r>
              <w:rPr>
                <w:b w:val="false"/>
                <w:bCs w:val="false"/>
                <w:color w:val="4A5570"/>
                <w:sz w:val="19"/>
                <w:szCs w:val="19"/>
              </w:rPr>
              <w:t xml:space="preserve">Second country pack (16), workload view (17), digest (18)</w:t>
            </w:r>
          </w:p>
        </w:tc>
        <w:tc>
          <w:tcPr>
            <w:tcMar>
              <w:top w:type="dxa" w:w="100"/>
              <w:left w:type="dxa" w:w="120"/>
              <w:bottom w:type="dxa" w:w="100"/>
              <w:right w:type="dxa" w:w="120"/>
            </w:tcMar>
            <w:vAlign w:val="top"/>
          </w:tcPr>
          <w:p>
            <w:r>
              <w:rPr>
                <w:b w:val="false"/>
                <w:bCs w:val="false"/>
                <w:color w:val="4A5570"/>
                <w:sz w:val="19"/>
                <w:szCs w:val="19"/>
              </w:rPr>
              <w:t xml:space="preserve">Scale to a second market without rebuilding the core</w:t>
            </w:r>
          </w:p>
        </w:tc>
      </w:tr>
    </w:tbl>
    <w:p>
      <w:pPr>
        <w:pStyle w:val="Heading1"/>
        <w:spacing w:after="180" w:before="420"/>
      </w:pPr>
      <w:r>
        <w:rPr>
          <w:b/>
          <w:bCs/>
          <w:color w:val="1B2437"/>
          <w:sz w:val="30"/>
          <w:szCs w:val="30"/>
        </w:rPr>
        <w:t xml:space="preserve">13. Success metrics</w:t>
      </w:r>
    </w:p>
    <w:tbl>
      <w:tblPr>
        <w:tblW w:type="pct" w:w="100%"/>
        <w:tblBorders>
          <w:top w:val="single" w:color="1D4ED8" w:sz="4"/>
          <w:left w:val="single" w:color="1D4ED8" w:sz="20"/>
          <w:bottom w:val="single" w:color="1D4ED8" w:sz="4"/>
          <w:right w:val="single" w:color="1D4ED8" w:sz="4"/>
          <w:insideH w:val="none"/>
          <w:insideV w:val="none"/>
        </w:tblBorders>
      </w:tblPr>
      <w:tblGrid>
        <w:gridCol w:w="100"/>
      </w:tblGrid>
      <w:tr>
        <w:tc>
          <w:tcPr>
            <w:shd w:fill="EAF1FF" w:val="clear"/>
            <w:tcMar>
              <w:top w:type="dxa" w:w="160"/>
              <w:left w:type="dxa" w:w="220"/>
              <w:bottom w:type="dxa" w:w="160"/>
              <w:right w:type="dxa" w:w="220"/>
            </w:tcMar>
          </w:tcPr>
          <w:p>
            <w:pPr>
              <w:spacing w:after="40"/>
            </w:pPr>
            <w:r>
              <w:rPr>
                <w:b/>
                <w:bCs/>
                <w:color w:val="1D4ED8"/>
                <w:sz w:val="20"/>
                <w:szCs w:val="20"/>
              </w:rPr>
              <w:t xml:space="preserve">NORTH STAR METRIC</w:t>
            </w:r>
          </w:p>
          <w:p>
            <w:pPr>
              <w:spacing w:after="0"/>
            </w:pPr>
            <w:r>
              <w:rPr>
                <w:color w:val="1B2437"/>
                <w:sz w:val="20"/>
                <w:szCs w:val="20"/>
              </w:rPr>
              <w:t xml:space="preserve">Documents collected and approved per firm per month, without manual retyping. Everything else is a leading or lagging indicator of this.</w:t>
            </w:r>
          </w:p>
        </w:tc>
      </w:tr>
    </w:tbl>
    <w:p>
      <w:pPr>
        <w:spacing w:after="120"/>
      </w:pP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1800"/>
        <w:gridCol w:w="4200"/>
        <w:gridCol w:w="32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Category</w:t>
            </w:r>
          </w:p>
        </w:tc>
        <w:tc>
          <w:tcPr>
            <w:shd w:fill="F3F6FC" w:val="clear"/>
            <w:tcMar>
              <w:top w:type="dxa" w:w="100"/>
              <w:left w:type="dxa" w:w="120"/>
              <w:bottom w:type="dxa" w:w="100"/>
              <w:right w:type="dxa" w:w="120"/>
            </w:tcMar>
            <w:vAlign w:val="top"/>
          </w:tcPr>
          <w:p>
            <w:r>
              <w:rPr>
                <w:b/>
                <w:bCs/>
                <w:color w:val="1B2437"/>
                <w:sz w:val="19"/>
                <w:szCs w:val="19"/>
              </w:rPr>
              <w:t xml:space="preserve">Metric</w:t>
            </w:r>
          </w:p>
        </w:tc>
        <w:tc>
          <w:tcPr>
            <w:shd w:fill="F3F6FC" w:val="clear"/>
            <w:tcMar>
              <w:top w:type="dxa" w:w="100"/>
              <w:left w:type="dxa" w:w="120"/>
              <w:bottom w:type="dxa" w:w="100"/>
              <w:right w:type="dxa" w:w="120"/>
            </w:tcMar>
            <w:vAlign w:val="top"/>
          </w:tcPr>
          <w:p>
            <w:r>
              <w:rPr>
                <w:b/>
                <w:bCs/>
                <w:color w:val="1B2437"/>
                <w:sz w:val="19"/>
                <w:szCs w:val="19"/>
              </w:rPr>
              <w:t xml:space="preserve">Why it matters</w:t>
            </w:r>
          </w:p>
        </w:tc>
      </w:tr>
      <w:tr>
        <w:tc>
          <w:tcPr>
            <w:tcMar>
              <w:top w:type="dxa" w:w="100"/>
              <w:left w:type="dxa" w:w="120"/>
              <w:bottom w:type="dxa" w:w="100"/>
              <w:right w:type="dxa" w:w="120"/>
            </w:tcMar>
            <w:vAlign w:val="top"/>
          </w:tcPr>
          <w:p>
            <w:r>
              <w:rPr>
                <w:b w:val="false"/>
                <w:bCs w:val="false"/>
                <w:color w:val="4A5570"/>
                <w:sz w:val="19"/>
                <w:szCs w:val="19"/>
              </w:rPr>
              <w:t xml:space="preserve">Activation</w:t>
            </w:r>
          </w:p>
        </w:tc>
        <w:tc>
          <w:tcPr>
            <w:tcMar>
              <w:top w:type="dxa" w:w="100"/>
              <w:left w:type="dxa" w:w="120"/>
              <w:bottom w:type="dxa" w:w="100"/>
              <w:right w:type="dxa" w:w="120"/>
            </w:tcMar>
            <w:vAlign w:val="top"/>
          </w:tcPr>
          <w:p>
            <w:r>
              <w:rPr>
                <w:b w:val="false"/>
                <w:bCs w:val="false"/>
                <w:color w:val="4A5570"/>
                <w:sz w:val="19"/>
                <w:szCs w:val="19"/>
              </w:rPr>
              <w:t xml:space="preserve">% of new firms sending a first document request within 48 hours</w:t>
            </w:r>
          </w:p>
        </w:tc>
        <w:tc>
          <w:tcPr>
            <w:tcMar>
              <w:top w:type="dxa" w:w="100"/>
              <w:left w:type="dxa" w:w="120"/>
              <w:bottom w:type="dxa" w:w="100"/>
              <w:right w:type="dxa" w:w="120"/>
            </w:tcMar>
            <w:vAlign w:val="top"/>
          </w:tcPr>
          <w:p>
            <w:r>
              <w:rPr>
                <w:b w:val="false"/>
                <w:bCs w:val="false"/>
                <w:color w:val="4A5570"/>
                <w:sz w:val="19"/>
                <w:szCs w:val="19"/>
              </w:rPr>
              <w:t xml:space="preserve">Measures time-to-first-value</w:t>
            </w:r>
          </w:p>
        </w:tc>
      </w:tr>
      <w:tr>
        <w:tc>
          <w:tcPr>
            <w:tcMar>
              <w:top w:type="dxa" w:w="100"/>
              <w:left w:type="dxa" w:w="120"/>
              <w:bottom w:type="dxa" w:w="100"/>
              <w:right w:type="dxa" w:w="120"/>
            </w:tcMar>
            <w:vAlign w:val="top"/>
          </w:tcPr>
          <w:p>
            <w:r>
              <w:rPr>
                <w:b w:val="false"/>
                <w:bCs w:val="false"/>
                <w:color w:val="4A5570"/>
                <w:sz w:val="19"/>
                <w:szCs w:val="19"/>
              </w:rPr>
              <w:t xml:space="preserve">Product quality</w:t>
            </w:r>
          </w:p>
        </w:tc>
        <w:tc>
          <w:tcPr>
            <w:tcMar>
              <w:top w:type="dxa" w:w="100"/>
              <w:left w:type="dxa" w:w="120"/>
              <w:bottom w:type="dxa" w:w="100"/>
              <w:right w:type="dxa" w:w="120"/>
            </w:tcMar>
            <w:vAlign w:val="top"/>
          </w:tcPr>
          <w:p>
            <w:r>
              <w:rPr>
                <w:b w:val="false"/>
                <w:bCs w:val="false"/>
                <w:color w:val="4A5570"/>
                <w:sz w:val="19"/>
                <w:szCs w:val="19"/>
              </w:rPr>
              <w:t xml:space="preserve">% of fields approved without edit, by document type</w:t>
            </w:r>
          </w:p>
        </w:tc>
        <w:tc>
          <w:tcPr>
            <w:tcMar>
              <w:top w:type="dxa" w:w="100"/>
              <w:left w:type="dxa" w:w="120"/>
              <w:bottom w:type="dxa" w:w="100"/>
              <w:right w:type="dxa" w:w="120"/>
            </w:tcMar>
            <w:vAlign w:val="top"/>
          </w:tcPr>
          <w:p>
            <w:r>
              <w:rPr>
                <w:b w:val="false"/>
                <w:bCs w:val="false"/>
                <w:color w:val="4A5570"/>
                <w:sz w:val="19"/>
                <w:szCs w:val="19"/>
              </w:rPr>
              <w:t xml:space="preserve">Direct measure of extraction trustworthiness</w:t>
            </w:r>
          </w:p>
        </w:tc>
      </w:tr>
      <w:tr>
        <w:tc>
          <w:tcPr>
            <w:tcMar>
              <w:top w:type="dxa" w:w="100"/>
              <w:left w:type="dxa" w:w="120"/>
              <w:bottom w:type="dxa" w:w="100"/>
              <w:right w:type="dxa" w:w="120"/>
            </w:tcMar>
            <w:vAlign w:val="top"/>
          </w:tcPr>
          <w:p>
            <w:r>
              <w:rPr>
                <w:b w:val="false"/>
                <w:bCs w:val="false"/>
                <w:color w:val="4A5570"/>
                <w:sz w:val="19"/>
                <w:szCs w:val="19"/>
              </w:rPr>
              <w:t xml:space="preserve">Product quality</w:t>
            </w:r>
          </w:p>
        </w:tc>
        <w:tc>
          <w:tcPr>
            <w:tcMar>
              <w:top w:type="dxa" w:w="100"/>
              <w:left w:type="dxa" w:w="120"/>
              <w:bottom w:type="dxa" w:w="100"/>
              <w:right w:type="dxa" w:w="120"/>
            </w:tcMar>
            <w:vAlign w:val="top"/>
          </w:tcPr>
          <w:p>
            <w:r>
              <w:rPr>
                <w:b w:val="false"/>
                <w:bCs w:val="false"/>
                <w:color w:val="4A5570"/>
                <w:sz w:val="19"/>
                <w:szCs w:val="19"/>
              </w:rPr>
              <w:t xml:space="preserve">Median review time per document</w:t>
            </w:r>
          </w:p>
        </w:tc>
        <w:tc>
          <w:tcPr>
            <w:tcMar>
              <w:top w:type="dxa" w:w="100"/>
              <w:left w:type="dxa" w:w="120"/>
              <w:bottom w:type="dxa" w:w="100"/>
              <w:right w:type="dxa" w:w="120"/>
            </w:tcMar>
            <w:vAlign w:val="top"/>
          </w:tcPr>
          <w:p>
            <w:r>
              <w:rPr>
                <w:b w:val="false"/>
                <w:bCs w:val="false"/>
                <w:color w:val="4A5570"/>
                <w:sz w:val="19"/>
                <w:szCs w:val="19"/>
              </w:rPr>
              <w:t xml:space="preserve">Proves review is faster than manual entry</w:t>
            </w:r>
          </w:p>
        </w:tc>
      </w:tr>
      <w:tr>
        <w:tc>
          <w:tcPr>
            <w:tcMar>
              <w:top w:type="dxa" w:w="100"/>
              <w:left w:type="dxa" w:w="120"/>
              <w:bottom w:type="dxa" w:w="100"/>
              <w:right w:type="dxa" w:w="120"/>
            </w:tcMar>
            <w:vAlign w:val="top"/>
          </w:tcPr>
          <w:p>
            <w:r>
              <w:rPr>
                <w:b w:val="false"/>
                <w:bCs w:val="false"/>
                <w:color w:val="4A5570"/>
                <w:sz w:val="19"/>
                <w:szCs w:val="19"/>
              </w:rPr>
              <w:t xml:space="preserve">Value delivered</w:t>
            </w:r>
          </w:p>
        </w:tc>
        <w:tc>
          <w:tcPr>
            <w:tcMar>
              <w:top w:type="dxa" w:w="100"/>
              <w:left w:type="dxa" w:w="120"/>
              <w:bottom w:type="dxa" w:w="100"/>
              <w:right w:type="dxa" w:w="120"/>
            </w:tcMar>
            <w:vAlign w:val="top"/>
          </w:tcPr>
          <w:p>
            <w:r>
              <w:rPr>
                <w:b w:val="false"/>
                <w:bCs w:val="false"/>
                <w:color w:val="4A5570"/>
                <w:sz w:val="19"/>
                <w:szCs w:val="19"/>
              </w:rPr>
              <w:t xml:space="preserve">Reduction in hours spent chasing/entering documents</w:t>
            </w:r>
          </w:p>
        </w:tc>
        <w:tc>
          <w:tcPr>
            <w:tcMar>
              <w:top w:type="dxa" w:w="100"/>
              <w:left w:type="dxa" w:w="120"/>
              <w:bottom w:type="dxa" w:w="100"/>
              <w:right w:type="dxa" w:w="120"/>
            </w:tcMar>
            <w:vAlign w:val="top"/>
          </w:tcPr>
          <w:p>
            <w:r>
              <w:rPr>
                <w:b w:val="false"/>
                <w:bCs w:val="false"/>
                <w:color w:val="4A5570"/>
                <w:sz w:val="19"/>
                <w:szCs w:val="19"/>
              </w:rPr>
              <w:t xml:space="preserve">The core promise of the product</w:t>
            </w:r>
          </w:p>
        </w:tc>
      </w:tr>
      <w:tr>
        <w:tc>
          <w:tcPr>
            <w:tcMar>
              <w:top w:type="dxa" w:w="100"/>
              <w:left w:type="dxa" w:w="120"/>
              <w:bottom w:type="dxa" w:w="100"/>
              <w:right w:type="dxa" w:w="120"/>
            </w:tcMar>
            <w:vAlign w:val="top"/>
          </w:tcPr>
          <w:p>
            <w:r>
              <w:rPr>
                <w:b w:val="false"/>
                <w:bCs w:val="false"/>
                <w:color w:val="4A5570"/>
                <w:sz w:val="19"/>
                <w:szCs w:val="19"/>
              </w:rPr>
              <w:t xml:space="preserve">Engagement</w:t>
            </w:r>
          </w:p>
        </w:tc>
        <w:tc>
          <w:tcPr>
            <w:tcMar>
              <w:top w:type="dxa" w:w="100"/>
              <w:left w:type="dxa" w:w="120"/>
              <w:bottom w:type="dxa" w:w="100"/>
              <w:right w:type="dxa" w:w="120"/>
            </w:tcMar>
            <w:vAlign w:val="top"/>
          </w:tcPr>
          <w:p>
            <w:r>
              <w:rPr>
                <w:b w:val="false"/>
                <w:bCs w:val="false"/>
                <w:color w:val="4A5570"/>
                <w:sz w:val="19"/>
                <w:szCs w:val="19"/>
              </w:rPr>
              <w:t xml:space="preserve">Weekly active firms as % of paying firms</w:t>
            </w:r>
          </w:p>
        </w:tc>
        <w:tc>
          <w:tcPr>
            <w:tcMar>
              <w:top w:type="dxa" w:w="100"/>
              <w:left w:type="dxa" w:w="120"/>
              <w:bottom w:type="dxa" w:w="100"/>
              <w:right w:type="dxa" w:w="120"/>
            </w:tcMar>
            <w:vAlign w:val="top"/>
          </w:tcPr>
          <w:p>
            <w:r>
              <w:rPr>
                <w:b w:val="false"/>
                <w:bCs w:val="false"/>
                <w:color w:val="4A5570"/>
                <w:sz w:val="19"/>
                <w:szCs w:val="19"/>
              </w:rPr>
              <w:t xml:space="preserve">Habitual use vs. one-off trial</w:t>
            </w:r>
          </w:p>
        </w:tc>
      </w:tr>
      <w:tr>
        <w:tc>
          <w:tcPr>
            <w:tcMar>
              <w:top w:type="dxa" w:w="100"/>
              <w:left w:type="dxa" w:w="120"/>
              <w:bottom w:type="dxa" w:w="100"/>
              <w:right w:type="dxa" w:w="120"/>
            </w:tcMar>
            <w:vAlign w:val="top"/>
          </w:tcPr>
          <w:p>
            <w:r>
              <w:rPr>
                <w:b w:val="false"/>
                <w:bCs w:val="false"/>
                <w:color w:val="4A5570"/>
                <w:sz w:val="19"/>
                <w:szCs w:val="19"/>
              </w:rPr>
              <w:t xml:space="preserve">Client-side</w:t>
            </w:r>
          </w:p>
        </w:tc>
        <w:tc>
          <w:tcPr>
            <w:tcMar>
              <w:top w:type="dxa" w:w="100"/>
              <w:left w:type="dxa" w:w="120"/>
              <w:bottom w:type="dxa" w:w="100"/>
              <w:right w:type="dxa" w:w="120"/>
            </w:tcMar>
            <w:vAlign w:val="top"/>
          </w:tcPr>
          <w:p>
            <w:r>
              <w:rPr>
                <w:b w:val="false"/>
                <w:bCs w:val="false"/>
                <w:color w:val="4A5570"/>
                <w:sz w:val="19"/>
                <w:szCs w:val="19"/>
              </w:rPr>
              <w:t xml:space="preserve">% of document requests fulfilled within 3 days</w:t>
            </w:r>
          </w:p>
        </w:tc>
        <w:tc>
          <w:tcPr>
            <w:tcMar>
              <w:top w:type="dxa" w:w="100"/>
              <w:left w:type="dxa" w:w="120"/>
              <w:bottom w:type="dxa" w:w="100"/>
              <w:right w:type="dxa" w:w="120"/>
            </w:tcMar>
            <w:vAlign w:val="top"/>
          </w:tcPr>
          <w:p>
            <w:r>
              <w:rPr>
                <w:b w:val="false"/>
                <w:bCs w:val="false"/>
                <w:color w:val="4A5570"/>
                <w:sz w:val="19"/>
                <w:szCs w:val="19"/>
              </w:rPr>
              <w:t xml:space="preserve">Shows the WhatsApp channel works better than the status quo</w:t>
            </w:r>
          </w:p>
        </w:tc>
      </w:tr>
      <w:tr>
        <w:tc>
          <w:tcPr>
            <w:tcMar>
              <w:top w:type="dxa" w:w="100"/>
              <w:left w:type="dxa" w:w="120"/>
              <w:bottom w:type="dxa" w:w="100"/>
              <w:right w:type="dxa" w:w="120"/>
            </w:tcMar>
            <w:vAlign w:val="top"/>
          </w:tcPr>
          <w:p>
            <w:r>
              <w:rPr>
                <w:b w:val="false"/>
                <w:bCs w:val="false"/>
                <w:color w:val="4A5570"/>
                <w:sz w:val="19"/>
                <w:szCs w:val="19"/>
              </w:rPr>
              <w:t xml:space="preserve">Trust</w:t>
            </w:r>
          </w:p>
        </w:tc>
        <w:tc>
          <w:tcPr>
            <w:tcMar>
              <w:top w:type="dxa" w:w="100"/>
              <w:left w:type="dxa" w:w="120"/>
              <w:bottom w:type="dxa" w:w="100"/>
              <w:right w:type="dxa" w:w="120"/>
            </w:tcMar>
            <w:vAlign w:val="top"/>
          </w:tcPr>
          <w:p>
            <w:r>
              <w:rPr>
                <w:b w:val="false"/>
                <w:bCs w:val="false"/>
                <w:color w:val="4A5570"/>
                <w:sz w:val="19"/>
                <w:szCs w:val="19"/>
              </w:rPr>
              <w:t xml:space="preserve">Serious incidents (wrong data used unreviewed, message sent without consent)</w:t>
            </w:r>
          </w:p>
        </w:tc>
        <w:tc>
          <w:tcPr>
            <w:tcMar>
              <w:top w:type="dxa" w:w="100"/>
              <w:left w:type="dxa" w:w="120"/>
              <w:bottom w:type="dxa" w:w="100"/>
              <w:right w:type="dxa" w:w="120"/>
            </w:tcMar>
            <w:vAlign w:val="top"/>
          </w:tcPr>
          <w:p>
            <w:r>
              <w:rPr>
                <w:b w:val="false"/>
                <w:bCs w:val="false"/>
                <w:color w:val="4A5570"/>
                <w:sz w:val="19"/>
                <w:szCs w:val="19"/>
              </w:rPr>
              <w:t xml:space="preserve">Target: zero, always</w:t>
            </w:r>
          </w:p>
        </w:tc>
      </w:tr>
      <w:tr>
        <w:tc>
          <w:tcPr>
            <w:tcMar>
              <w:top w:type="dxa" w:w="100"/>
              <w:left w:type="dxa" w:w="120"/>
              <w:bottom w:type="dxa" w:w="100"/>
              <w:right w:type="dxa" w:w="120"/>
            </w:tcMar>
            <w:vAlign w:val="top"/>
          </w:tcPr>
          <w:p>
            <w:r>
              <w:rPr>
                <w:b w:val="false"/>
                <w:bCs w:val="false"/>
                <w:color w:val="4A5570"/>
                <w:sz w:val="19"/>
                <w:szCs w:val="19"/>
              </w:rPr>
              <w:t xml:space="preserve">Business</w:t>
            </w:r>
          </w:p>
        </w:tc>
        <w:tc>
          <w:tcPr>
            <w:tcMar>
              <w:top w:type="dxa" w:w="100"/>
              <w:left w:type="dxa" w:w="120"/>
              <w:bottom w:type="dxa" w:w="100"/>
              <w:right w:type="dxa" w:w="120"/>
            </w:tcMar>
            <w:vAlign w:val="top"/>
          </w:tcPr>
          <w:p>
            <w:r>
              <w:rPr>
                <w:b w:val="false"/>
                <w:bCs w:val="false"/>
                <w:color w:val="4A5570"/>
                <w:sz w:val="19"/>
                <w:szCs w:val="19"/>
              </w:rPr>
              <w:t xml:space="preserve">Monthly recurring revenue, logo churn, gross margin</w:t>
            </w:r>
          </w:p>
        </w:tc>
        <w:tc>
          <w:tcPr>
            <w:tcMar>
              <w:top w:type="dxa" w:w="100"/>
              <w:left w:type="dxa" w:w="120"/>
              <w:bottom w:type="dxa" w:w="100"/>
              <w:right w:type="dxa" w:w="120"/>
            </w:tcMar>
            <w:vAlign w:val="top"/>
          </w:tcPr>
          <w:p>
            <w:r>
              <w:rPr>
                <w:b w:val="false"/>
                <w:bCs w:val="false"/>
                <w:color w:val="4A5570"/>
                <w:sz w:val="19"/>
                <w:szCs w:val="19"/>
              </w:rPr>
              <w:t xml:space="preserve">Standard SaaS health</w:t>
            </w:r>
          </w:p>
        </w:tc>
      </w:tr>
    </w:tbl>
    <w:p>
      <w:pPr>
        <w:pStyle w:val="Heading1"/>
        <w:spacing w:after="180" w:before="420"/>
      </w:pPr>
      <w:r>
        <w:rPr>
          <w:b/>
          <w:bCs/>
          <w:color w:val="1B2437"/>
          <w:sz w:val="30"/>
          <w:szCs w:val="30"/>
        </w:rPr>
        <w:t xml:space="preserve">14. Risks and assumptions</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2900"/>
        <w:gridCol w:w="2900"/>
        <w:gridCol w:w="34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Risk / assumption</w:t>
            </w:r>
          </w:p>
        </w:tc>
        <w:tc>
          <w:tcPr>
            <w:shd w:fill="F3F6FC" w:val="clear"/>
            <w:tcMar>
              <w:top w:type="dxa" w:w="100"/>
              <w:left w:type="dxa" w:w="120"/>
              <w:bottom w:type="dxa" w:w="100"/>
              <w:right w:type="dxa" w:w="120"/>
            </w:tcMar>
            <w:vAlign w:val="top"/>
          </w:tcPr>
          <w:p>
            <w:r>
              <w:rPr>
                <w:b/>
                <w:bCs/>
                <w:color w:val="1B2437"/>
                <w:sz w:val="19"/>
                <w:szCs w:val="19"/>
              </w:rPr>
              <w:t xml:space="preserve">Why it matters</w:t>
            </w:r>
          </w:p>
        </w:tc>
        <w:tc>
          <w:tcPr>
            <w:shd w:fill="F3F6FC" w:val="clear"/>
            <w:tcMar>
              <w:top w:type="dxa" w:w="100"/>
              <w:left w:type="dxa" w:w="120"/>
              <w:bottom w:type="dxa" w:w="100"/>
              <w:right w:type="dxa" w:w="120"/>
            </w:tcMar>
            <w:vAlign w:val="top"/>
          </w:tcPr>
          <w:p>
            <w:r>
              <w:rPr>
                <w:b/>
                <w:bCs/>
                <w:color w:val="1B2437"/>
                <w:sz w:val="19"/>
                <w:szCs w:val="19"/>
              </w:rPr>
              <w:t xml:space="preserve">Mitigation</w:t>
            </w:r>
          </w:p>
        </w:tc>
      </w:tr>
      <w:tr>
        <w:tc>
          <w:tcPr>
            <w:tcMar>
              <w:top w:type="dxa" w:w="100"/>
              <w:left w:type="dxa" w:w="120"/>
              <w:bottom w:type="dxa" w:w="100"/>
              <w:right w:type="dxa" w:w="120"/>
            </w:tcMar>
            <w:vAlign w:val="top"/>
          </w:tcPr>
          <w:p>
            <w:r>
              <w:rPr>
                <w:b w:val="false"/>
                <w:bCs w:val="false"/>
                <w:color w:val="4A5570"/>
                <w:sz w:val="19"/>
                <w:szCs w:val="19"/>
              </w:rPr>
              <w:t xml:space="preserve">Extraction accuracy is lower than needed on messy real-world documents</w:t>
            </w:r>
          </w:p>
        </w:tc>
        <w:tc>
          <w:tcPr>
            <w:tcMar>
              <w:top w:type="dxa" w:w="100"/>
              <w:left w:type="dxa" w:w="120"/>
              <w:bottom w:type="dxa" w:w="100"/>
              <w:right w:type="dxa" w:w="120"/>
            </w:tcMar>
            <w:vAlign w:val="top"/>
          </w:tcPr>
          <w:p>
            <w:r>
              <w:rPr>
                <w:b w:val="false"/>
                <w:bCs w:val="false"/>
                <w:color w:val="4A5570"/>
                <w:sz w:val="19"/>
                <w:szCs w:val="19"/>
              </w:rPr>
              <w:t xml:space="preserve">Could undermine trust in the whole product</w:t>
            </w:r>
          </w:p>
        </w:tc>
        <w:tc>
          <w:tcPr>
            <w:tcMar>
              <w:top w:type="dxa" w:w="100"/>
              <w:left w:type="dxa" w:w="120"/>
              <w:bottom w:type="dxa" w:w="100"/>
              <w:right w:type="dxa" w:w="120"/>
            </w:tcMar>
            <w:vAlign w:val="top"/>
          </w:tcPr>
          <w:p>
            <w:r>
              <w:rPr>
                <w:b w:val="false"/>
                <w:bCs w:val="false"/>
                <w:color w:val="4A5570"/>
                <w:sz w:val="19"/>
                <w:szCs w:val="19"/>
              </w:rPr>
              <w:t xml:space="preserve">Human review by default, published accuracy by document type, continuous improvement loop from design-partner data</w:t>
            </w:r>
          </w:p>
        </w:tc>
      </w:tr>
      <w:tr>
        <w:tc>
          <w:tcPr>
            <w:tcMar>
              <w:top w:type="dxa" w:w="100"/>
              <w:left w:type="dxa" w:w="120"/>
              <w:bottom w:type="dxa" w:w="100"/>
              <w:right w:type="dxa" w:w="120"/>
            </w:tcMar>
            <w:vAlign w:val="top"/>
          </w:tcPr>
          <w:p>
            <w:r>
              <w:rPr>
                <w:b w:val="false"/>
                <w:bCs w:val="false"/>
                <w:color w:val="4A5570"/>
                <w:sz w:val="19"/>
                <w:szCs w:val="19"/>
              </w:rPr>
              <w:t xml:space="preserve">Clients won’t send documents even on WhatsApp</w:t>
            </w:r>
          </w:p>
        </w:tc>
        <w:tc>
          <w:tcPr>
            <w:tcMar>
              <w:top w:type="dxa" w:w="100"/>
              <w:left w:type="dxa" w:w="120"/>
              <w:bottom w:type="dxa" w:w="100"/>
              <w:right w:type="dxa" w:w="120"/>
            </w:tcMar>
            <w:vAlign w:val="top"/>
          </w:tcPr>
          <w:p>
            <w:r>
              <w:rPr>
                <w:b w:val="false"/>
                <w:bCs w:val="false"/>
                <w:color w:val="4A5570"/>
                <w:sz w:val="19"/>
                <w:szCs w:val="19"/>
              </w:rPr>
              <w:t xml:space="preserve">The collection loop is the foundation everything else depends on</w:t>
            </w:r>
          </w:p>
        </w:tc>
        <w:tc>
          <w:tcPr>
            <w:tcMar>
              <w:top w:type="dxa" w:w="100"/>
              <w:left w:type="dxa" w:w="120"/>
              <w:bottom w:type="dxa" w:w="100"/>
              <w:right w:type="dxa" w:w="120"/>
            </w:tcMar>
            <w:vAlign w:val="top"/>
          </w:tcPr>
          <w:p>
            <w:r>
              <w:rPr>
                <w:b w:val="false"/>
                <w:bCs w:val="false"/>
                <w:color w:val="4A5570"/>
                <w:sz w:val="19"/>
                <w:szCs w:val="19"/>
              </w:rPr>
              <w:t xml:space="preserve">Test message tone and timing with real design partners; measure fulfilment rate as a core metric</w:t>
            </w:r>
          </w:p>
        </w:tc>
      </w:tr>
      <w:tr>
        <w:tc>
          <w:tcPr>
            <w:tcMar>
              <w:top w:type="dxa" w:w="100"/>
              <w:left w:type="dxa" w:w="120"/>
              <w:bottom w:type="dxa" w:w="100"/>
              <w:right w:type="dxa" w:w="120"/>
            </w:tcMar>
            <w:vAlign w:val="top"/>
          </w:tcPr>
          <w:p>
            <w:r>
              <w:rPr>
                <w:b w:val="false"/>
                <w:bCs w:val="false"/>
                <w:color w:val="4A5570"/>
                <w:sz w:val="19"/>
                <w:szCs w:val="19"/>
              </w:rPr>
              <w:t xml:space="preserve">Ledger vendors add similar automation themselves</w:t>
            </w:r>
          </w:p>
        </w:tc>
        <w:tc>
          <w:tcPr>
            <w:tcMar>
              <w:top w:type="dxa" w:w="100"/>
              <w:left w:type="dxa" w:w="120"/>
              <w:bottom w:type="dxa" w:w="100"/>
              <w:right w:type="dxa" w:w="120"/>
            </w:tcMar>
            <w:vAlign w:val="top"/>
          </w:tcPr>
          <w:p>
            <w:r>
              <w:rPr>
                <w:b w:val="false"/>
                <w:bCs w:val="false"/>
                <w:color w:val="4A5570"/>
                <w:sz w:val="19"/>
                <w:szCs w:val="19"/>
              </w:rPr>
              <w:t xml:space="preserve">Reduces our differentiation over time</w:t>
            </w:r>
          </w:p>
        </w:tc>
        <w:tc>
          <w:tcPr>
            <w:tcMar>
              <w:top w:type="dxa" w:w="100"/>
              <w:left w:type="dxa" w:w="120"/>
              <w:bottom w:type="dxa" w:w="100"/>
              <w:right w:type="dxa" w:w="120"/>
            </w:tcMar>
            <w:vAlign w:val="top"/>
          </w:tcPr>
          <w:p>
            <w:r>
              <w:rPr>
                <w:b w:val="false"/>
                <w:bCs w:val="false"/>
                <w:color w:val="4A5570"/>
                <w:sz w:val="19"/>
                <w:szCs w:val="19"/>
              </w:rPr>
              <w:t xml:space="preserve">Own the firm-wide, multi-ledger, multi-client workflow a single-ledger vendor has no incentive to build</w:t>
            </w:r>
          </w:p>
        </w:tc>
      </w:tr>
      <w:tr>
        <w:tc>
          <w:tcPr>
            <w:tcMar>
              <w:top w:type="dxa" w:w="100"/>
              <w:left w:type="dxa" w:w="120"/>
              <w:bottom w:type="dxa" w:w="100"/>
              <w:right w:type="dxa" w:w="120"/>
            </w:tcMar>
            <w:vAlign w:val="top"/>
          </w:tcPr>
          <w:p>
            <w:r>
              <w:rPr>
                <w:b w:val="false"/>
                <w:bCs w:val="false"/>
                <w:color w:val="4A5570"/>
                <w:sz w:val="19"/>
                <w:szCs w:val="19"/>
              </w:rPr>
              <w:t xml:space="preserve">Messaging platform policy or pricing changes</w:t>
            </w:r>
          </w:p>
        </w:tc>
        <w:tc>
          <w:tcPr>
            <w:tcMar>
              <w:top w:type="dxa" w:w="100"/>
              <w:left w:type="dxa" w:w="120"/>
              <w:bottom w:type="dxa" w:w="100"/>
              <w:right w:type="dxa" w:w="120"/>
            </w:tcMar>
            <w:vAlign w:val="top"/>
          </w:tcPr>
          <w:p>
            <w:r>
              <w:rPr>
                <w:b w:val="false"/>
                <w:bCs w:val="false"/>
                <w:color w:val="4A5570"/>
                <w:sz w:val="19"/>
                <w:szCs w:val="19"/>
              </w:rPr>
              <w:t xml:space="preserve">Direct cost and delivery risk from third-party dependency</w:t>
            </w:r>
          </w:p>
        </w:tc>
        <w:tc>
          <w:tcPr>
            <w:tcMar>
              <w:top w:type="dxa" w:w="100"/>
              <w:left w:type="dxa" w:w="120"/>
              <w:bottom w:type="dxa" w:w="100"/>
              <w:right w:type="dxa" w:w="120"/>
            </w:tcMar>
            <w:vAlign w:val="top"/>
          </w:tcPr>
          <w:p>
            <w:r>
              <w:rPr>
                <w:b w:val="false"/>
                <w:bCs w:val="false"/>
                <w:color w:val="4A5570"/>
                <w:sz w:val="19"/>
                <w:szCs w:val="19"/>
              </w:rPr>
              <w:t xml:space="preserve">Use only transactional/utility-style messaging, support a fallback channel, monitor platform policy closely</w:t>
            </w:r>
          </w:p>
        </w:tc>
      </w:tr>
      <w:tr>
        <w:tc>
          <w:tcPr>
            <w:tcMar>
              <w:top w:type="dxa" w:w="100"/>
              <w:left w:type="dxa" w:w="120"/>
              <w:bottom w:type="dxa" w:w="100"/>
              <w:right w:type="dxa" w:w="120"/>
            </w:tcMar>
            <w:vAlign w:val="top"/>
          </w:tcPr>
          <w:p>
            <w:r>
              <w:rPr>
                <w:b w:val="false"/>
                <w:bCs w:val="false"/>
                <w:color w:val="4A5570"/>
                <w:sz w:val="19"/>
                <w:szCs w:val="19"/>
              </w:rPr>
              <w:t xml:space="preserve">Data protection requirements differ sharply by country</w:t>
            </w:r>
          </w:p>
        </w:tc>
        <w:tc>
          <w:tcPr>
            <w:tcMar>
              <w:top w:type="dxa" w:w="100"/>
              <w:left w:type="dxa" w:w="120"/>
              <w:bottom w:type="dxa" w:w="100"/>
              <w:right w:type="dxa" w:w="120"/>
            </w:tcMar>
            <w:vAlign w:val="top"/>
          </w:tcPr>
          <w:p>
            <w:r>
              <w:rPr>
                <w:b w:val="false"/>
                <w:bCs w:val="false"/>
                <w:color w:val="4A5570"/>
                <w:sz w:val="19"/>
                <w:szCs w:val="19"/>
              </w:rPr>
              <w:t xml:space="preserve">A single global architecture may not satisfy every jurisdiction</w:t>
            </w:r>
          </w:p>
        </w:tc>
        <w:tc>
          <w:tcPr>
            <w:tcMar>
              <w:top w:type="dxa" w:w="100"/>
              <w:left w:type="dxa" w:w="120"/>
              <w:bottom w:type="dxa" w:w="100"/>
              <w:right w:type="dxa" w:w="120"/>
            </w:tcMar>
            <w:vAlign w:val="top"/>
          </w:tcPr>
          <w:p>
            <w:r>
              <w:rPr>
                <w:b w:val="false"/>
                <w:bCs w:val="false"/>
                <w:color w:val="4A5570"/>
                <w:sz w:val="19"/>
                <w:szCs w:val="19"/>
              </w:rPr>
              <w:t xml:space="preserve">Configurable data residency, jurisdiction-specific legal review before each market launch</w:t>
            </w:r>
          </w:p>
        </w:tc>
      </w:tr>
      <w:tr>
        <w:tc>
          <w:tcPr>
            <w:tcMar>
              <w:top w:type="dxa" w:w="100"/>
              <w:left w:type="dxa" w:w="120"/>
              <w:bottom w:type="dxa" w:w="100"/>
              <w:right w:type="dxa" w:w="120"/>
            </w:tcMar>
            <w:vAlign w:val="top"/>
          </w:tcPr>
          <w:p>
            <w:r>
              <w:rPr>
                <w:b w:val="false"/>
                <w:bCs w:val="false"/>
                <w:color w:val="4A5570"/>
                <w:sz w:val="19"/>
                <w:szCs w:val="19"/>
              </w:rPr>
              <w:t xml:space="preserve">Regulatory filing rules and formats change</w:t>
            </w:r>
          </w:p>
        </w:tc>
        <w:tc>
          <w:tcPr>
            <w:tcMar>
              <w:top w:type="dxa" w:w="100"/>
              <w:left w:type="dxa" w:w="120"/>
              <w:bottom w:type="dxa" w:w="100"/>
              <w:right w:type="dxa" w:w="120"/>
            </w:tcMar>
            <w:vAlign w:val="top"/>
          </w:tcPr>
          <w:p>
            <w:r>
              <w:rPr>
                <w:b w:val="false"/>
                <w:bCs w:val="false"/>
                <w:color w:val="4A5570"/>
                <w:sz w:val="19"/>
                <w:szCs w:val="19"/>
              </w:rPr>
              <w:t xml:space="preserve">A worksheet or export mapping built today may go stale</w:t>
            </w:r>
          </w:p>
        </w:tc>
        <w:tc>
          <w:tcPr>
            <w:tcMar>
              <w:top w:type="dxa" w:w="100"/>
              <w:left w:type="dxa" w:w="120"/>
              <w:bottom w:type="dxa" w:w="100"/>
              <w:right w:type="dxa" w:w="120"/>
            </w:tcMar>
            <w:vAlign w:val="top"/>
          </w:tcPr>
          <w:p>
            <w:r>
              <w:rPr>
                <w:b w:val="false"/>
                <w:bCs w:val="false"/>
                <w:color w:val="4A5570"/>
                <w:sz w:val="19"/>
                <w:szCs w:val="19"/>
              </w:rPr>
              <w:t xml:space="preserve">Rule packs are data, not code, so they update without a release; monitor official sources per country</w:t>
            </w:r>
          </w:p>
        </w:tc>
      </w:tr>
      <w:tr>
        <w:tc>
          <w:tcPr>
            <w:tcMar>
              <w:top w:type="dxa" w:w="100"/>
              <w:left w:type="dxa" w:w="120"/>
              <w:bottom w:type="dxa" w:w="100"/>
              <w:right w:type="dxa" w:w="120"/>
            </w:tcMar>
            <w:vAlign w:val="top"/>
          </w:tcPr>
          <w:p>
            <w:r>
              <w:rPr>
                <w:b w:val="false"/>
                <w:bCs w:val="false"/>
                <w:color w:val="4A5570"/>
                <w:sz w:val="19"/>
                <w:szCs w:val="19"/>
              </w:rPr>
              <w:t xml:space="preserve">Firms are slower to adopt new tools than expected</w:t>
            </w:r>
          </w:p>
        </w:tc>
        <w:tc>
          <w:tcPr>
            <w:tcMar>
              <w:top w:type="dxa" w:w="100"/>
              <w:left w:type="dxa" w:w="120"/>
              <w:bottom w:type="dxa" w:w="100"/>
              <w:right w:type="dxa" w:w="120"/>
            </w:tcMar>
            <w:vAlign w:val="top"/>
          </w:tcPr>
          <w:p>
            <w:r>
              <w:rPr>
                <w:b w:val="false"/>
                <w:bCs w:val="false"/>
                <w:color w:val="4A5570"/>
                <w:sz w:val="19"/>
                <w:szCs w:val="19"/>
              </w:rPr>
              <w:t xml:space="preserve">Long sales cycles could stretch runway</w:t>
            </w:r>
          </w:p>
        </w:tc>
        <w:tc>
          <w:tcPr>
            <w:tcMar>
              <w:top w:type="dxa" w:w="100"/>
              <w:left w:type="dxa" w:w="120"/>
              <w:bottom w:type="dxa" w:w="100"/>
              <w:right w:type="dxa" w:w="120"/>
            </w:tcMar>
            <w:vAlign w:val="top"/>
          </w:tcPr>
          <w:p>
            <w:r>
              <w:rPr>
                <w:b w:val="false"/>
                <w:bCs w:val="false"/>
                <w:color w:val="4A5570"/>
                <w:sz w:val="19"/>
                <w:szCs w:val="19"/>
              </w:rPr>
              <w:t xml:space="preserve">Start with small, agile firms as design partners before targeting larger, slower-moving practices</w:t>
            </w:r>
          </w:p>
        </w:tc>
      </w:tr>
    </w:tbl>
    <w:p>
      <w:pPr>
        <w:pStyle w:val="Heading1"/>
        <w:spacing w:after="180" w:before="420"/>
      </w:pPr>
      <w:r>
        <w:rPr>
          <w:b/>
          <w:bCs/>
          <w:color w:val="1B2437"/>
          <w:sz w:val="30"/>
          <w:szCs w:val="30"/>
        </w:rPr>
        <w:t xml:space="preserve">15. Explicitly out of scope (v1)</w:t>
      </w:r>
    </w:p>
    <w:p>
      <w:pPr>
        <w:pStyle w:val="ListParagraph"/>
        <w:numPr>
          <w:ilvl w:val="0"/>
          <w:numId w:val="2"/>
        </w:numPr>
        <w:spacing w:after="60" w:line="264"/>
      </w:pPr>
      <w:r>
        <w:rPr>
          <w:color w:val="4A5570"/>
          <w:sz w:val="21"/>
          <w:szCs w:val="21"/>
        </w:rPr>
        <w:t xml:space="preserve">Full general-ledger accounting (journal entries, trial balance, financial statement production) — this remains the job of the firm’s existing accounting software.</w:t>
      </w:r>
    </w:p>
    <w:p>
      <w:pPr>
        <w:pStyle w:val="ListParagraph"/>
        <w:numPr>
          <w:ilvl w:val="0"/>
          <w:numId w:val="2"/>
        </w:numPr>
        <w:spacing w:after="60" w:line="264"/>
      </w:pPr>
      <w:r>
        <w:rPr>
          <w:color w:val="4A5570"/>
          <w:sz w:val="21"/>
          <w:szCs w:val="21"/>
        </w:rPr>
        <w:t xml:space="preserve">Becoming an accredited e-invoicing transmitter or tax filing agent in any jurisdiction.</w:t>
      </w:r>
    </w:p>
    <w:p>
      <w:pPr>
        <w:pStyle w:val="ListParagraph"/>
        <w:numPr>
          <w:ilvl w:val="0"/>
          <w:numId w:val="2"/>
        </w:numPr>
        <w:spacing w:after="60" w:line="264"/>
      </w:pPr>
      <w:r>
        <w:rPr>
          <w:color w:val="4A5570"/>
          <w:sz w:val="21"/>
          <w:szCs w:val="21"/>
        </w:rPr>
        <w:t xml:space="preserve">Submitting returns directly to any government portal on a firm’s behalf.</w:t>
      </w:r>
    </w:p>
    <w:p>
      <w:pPr>
        <w:pStyle w:val="ListParagraph"/>
        <w:numPr>
          <w:ilvl w:val="0"/>
          <w:numId w:val="2"/>
        </w:numPr>
        <w:spacing w:after="60" w:line="264"/>
      </w:pPr>
      <w:r>
        <w:rPr>
          <w:color w:val="4A5570"/>
          <w:sz w:val="21"/>
          <w:szCs w:val="21"/>
        </w:rPr>
        <w:t xml:space="preserve">Selling or marketing directly to end-client SMEs; they are users of the product, never the buyer.</w:t>
      </w:r>
    </w:p>
    <w:p>
      <w:pPr>
        <w:pStyle w:val="ListParagraph"/>
        <w:numPr>
          <w:ilvl w:val="0"/>
          <w:numId w:val="2"/>
        </w:numPr>
        <w:spacing w:after="60" w:line="264"/>
      </w:pPr>
      <w:r>
        <w:rPr>
          <w:color w:val="4A5570"/>
          <w:sz w:val="21"/>
          <w:szCs w:val="21"/>
        </w:rPr>
        <w:t xml:space="preserve">Marketing-style bulk messaging to clients; all outbound messages are service-related to an existing engagement.</w:t>
      </w:r>
    </w:p>
    <w:p>
      <w:pPr>
        <w:pStyle w:val="ListParagraph"/>
        <w:numPr>
          <w:ilvl w:val="0"/>
          <w:numId w:val="2"/>
        </w:numPr>
        <w:spacing w:after="60" w:line="264"/>
      </w:pPr>
      <w:r>
        <w:rPr>
          <w:color w:val="4A5570"/>
          <w:sz w:val="21"/>
          <w:szCs w:val="21"/>
        </w:rPr>
        <w:t xml:space="preserve">Payroll processing (may be considered as a later, clearly-scoped feature once the core loop is proven).</w:t>
      </w:r>
    </w:p>
    <w:p>
      <w:pPr>
        <w:pStyle w:val="Heading1"/>
        <w:spacing w:after="180" w:before="420"/>
      </w:pPr>
      <w:r>
        <w:rPr>
          <w:b/>
          <w:bCs/>
          <w:color w:val="1B2437"/>
          <w:sz w:val="30"/>
          <w:szCs w:val="30"/>
        </w:rPr>
        <w:t xml:space="preserve">16. Glossary</w:t>
      </w:r>
    </w:p>
    <w:tbl>
      <w:tblPr>
        <w:tblW w:type="pct" w:w="100%"/>
        <w:tblBorders>
          <w:top w:val="single" w:color="D7DEEC" w:sz="4"/>
          <w:left w:val="single" w:color="D7DEEC" w:sz="4"/>
          <w:bottom w:val="single" w:color="D7DEEC" w:sz="4"/>
          <w:right w:val="single" w:color="D7DEEC" w:sz="4"/>
          <w:insideH w:val="single" w:color="D7DEEC" w:sz="4"/>
          <w:insideV w:val="single" w:color="D7DEEC" w:sz="4"/>
        </w:tblBorders>
      </w:tblPr>
      <w:tblGrid>
        <w:gridCol w:w="2200"/>
        <w:gridCol w:w="7000"/>
      </w:tblGrid>
      <w:tr>
        <w:trPr>
          <w:tblHeader/>
        </w:trPr>
        <w:tc>
          <w:tcPr>
            <w:shd w:fill="F3F6FC" w:val="clear"/>
            <w:tcMar>
              <w:top w:type="dxa" w:w="100"/>
              <w:left w:type="dxa" w:w="120"/>
              <w:bottom w:type="dxa" w:w="100"/>
              <w:right w:type="dxa" w:w="120"/>
            </w:tcMar>
            <w:vAlign w:val="top"/>
          </w:tcPr>
          <w:p>
            <w:r>
              <w:rPr>
                <w:b/>
                <w:bCs/>
                <w:color w:val="1B2437"/>
                <w:sz w:val="19"/>
                <w:szCs w:val="19"/>
              </w:rPr>
              <w:t xml:space="preserve">Term</w:t>
            </w:r>
          </w:p>
        </w:tc>
        <w:tc>
          <w:tcPr>
            <w:shd w:fill="F3F6FC" w:val="clear"/>
            <w:tcMar>
              <w:top w:type="dxa" w:w="100"/>
              <w:left w:type="dxa" w:w="120"/>
              <w:bottom w:type="dxa" w:w="100"/>
              <w:right w:type="dxa" w:w="120"/>
            </w:tcMar>
            <w:vAlign w:val="top"/>
          </w:tcPr>
          <w:p>
            <w:r>
              <w:rPr>
                <w:b/>
                <w:bCs/>
                <w:color w:val="1B2437"/>
                <w:sz w:val="19"/>
                <w:szCs w:val="19"/>
              </w:rPr>
              <w:t xml:space="preserve">Meaning in this document</w:t>
            </w:r>
          </w:p>
        </w:tc>
      </w:tr>
      <w:tr>
        <w:tc>
          <w:tcPr>
            <w:tcMar>
              <w:top w:type="dxa" w:w="100"/>
              <w:left w:type="dxa" w:w="120"/>
              <w:bottom w:type="dxa" w:w="100"/>
              <w:right w:type="dxa" w:w="120"/>
            </w:tcMar>
            <w:vAlign w:val="top"/>
          </w:tcPr>
          <w:p>
            <w:r>
              <w:rPr>
                <w:b w:val="false"/>
                <w:bCs w:val="false"/>
                <w:color w:val="4A5570"/>
                <w:sz w:val="19"/>
                <w:szCs w:val="19"/>
              </w:rPr>
              <w:t xml:space="preserve">Firm</w:t>
            </w:r>
          </w:p>
        </w:tc>
        <w:tc>
          <w:tcPr>
            <w:tcMar>
              <w:top w:type="dxa" w:w="100"/>
              <w:left w:type="dxa" w:w="120"/>
              <w:bottom w:type="dxa" w:w="100"/>
              <w:right w:type="dxa" w:w="120"/>
            </w:tcMar>
            <w:vAlign w:val="top"/>
          </w:tcPr>
          <w:p>
            <w:r>
              <w:rPr>
                <w:b w:val="false"/>
                <w:bCs w:val="false"/>
                <w:color w:val="4A5570"/>
                <w:sz w:val="19"/>
                <w:szCs w:val="19"/>
              </w:rPr>
              <w:t xml:space="preserve">The accounting/bookkeeping/tax practice that is Taxflow’s paying customer.</w:t>
            </w:r>
          </w:p>
        </w:tc>
      </w:tr>
      <w:tr>
        <w:tc>
          <w:tcPr>
            <w:tcMar>
              <w:top w:type="dxa" w:w="100"/>
              <w:left w:type="dxa" w:w="120"/>
              <w:bottom w:type="dxa" w:w="100"/>
              <w:right w:type="dxa" w:w="120"/>
            </w:tcMar>
            <w:vAlign w:val="top"/>
          </w:tcPr>
          <w:p>
            <w:r>
              <w:rPr>
                <w:b w:val="false"/>
                <w:bCs w:val="false"/>
                <w:color w:val="4A5570"/>
                <w:sz w:val="19"/>
                <w:szCs w:val="19"/>
              </w:rPr>
              <w:t xml:space="preserve">Client</w:t>
            </w:r>
          </w:p>
        </w:tc>
        <w:tc>
          <w:tcPr>
            <w:tcMar>
              <w:top w:type="dxa" w:w="100"/>
              <w:left w:type="dxa" w:w="120"/>
              <w:bottom w:type="dxa" w:w="100"/>
              <w:right w:type="dxa" w:w="120"/>
            </w:tcMar>
            <w:vAlign w:val="top"/>
          </w:tcPr>
          <w:p>
            <w:r>
              <w:rPr>
                <w:b w:val="false"/>
                <w:bCs w:val="false"/>
                <w:color w:val="4A5570"/>
                <w:sz w:val="19"/>
                <w:szCs w:val="19"/>
              </w:rPr>
              <w:t xml:space="preserve">The firm’s own customer (an SME) whose documents are being collected.</w:t>
            </w:r>
          </w:p>
        </w:tc>
      </w:tr>
      <w:tr>
        <w:tc>
          <w:tcPr>
            <w:tcMar>
              <w:top w:type="dxa" w:w="100"/>
              <w:left w:type="dxa" w:w="120"/>
              <w:bottom w:type="dxa" w:w="100"/>
              <w:right w:type="dxa" w:w="120"/>
            </w:tcMar>
            <w:vAlign w:val="top"/>
          </w:tcPr>
          <w:p>
            <w:r>
              <w:rPr>
                <w:b w:val="false"/>
                <w:bCs w:val="false"/>
                <w:color w:val="4A5570"/>
                <w:sz w:val="19"/>
                <w:szCs w:val="19"/>
              </w:rPr>
              <w:t xml:space="preserve">Extraction</w:t>
            </w:r>
          </w:p>
        </w:tc>
        <w:tc>
          <w:tcPr>
            <w:tcMar>
              <w:top w:type="dxa" w:w="100"/>
              <w:left w:type="dxa" w:w="120"/>
              <w:bottom w:type="dxa" w:w="100"/>
              <w:right w:type="dxa" w:w="120"/>
            </w:tcMar>
            <w:vAlign w:val="top"/>
          </w:tcPr>
          <w:p>
            <w:r>
              <w:rPr>
                <w:b w:val="false"/>
                <w:bCs w:val="false"/>
                <w:color w:val="4A5570"/>
                <w:sz w:val="19"/>
                <w:szCs w:val="19"/>
              </w:rPr>
              <w:t xml:space="preserve">The automated reading of structured data out of a document image or PDF.</w:t>
            </w:r>
          </w:p>
        </w:tc>
      </w:tr>
      <w:tr>
        <w:tc>
          <w:tcPr>
            <w:tcMar>
              <w:top w:type="dxa" w:w="100"/>
              <w:left w:type="dxa" w:w="120"/>
              <w:bottom w:type="dxa" w:w="100"/>
              <w:right w:type="dxa" w:w="120"/>
            </w:tcMar>
            <w:vAlign w:val="top"/>
          </w:tcPr>
          <w:p>
            <w:r>
              <w:rPr>
                <w:b w:val="false"/>
                <w:bCs w:val="false"/>
                <w:color w:val="4A5570"/>
                <w:sz w:val="19"/>
                <w:szCs w:val="19"/>
              </w:rPr>
              <w:t xml:space="preserve">Confidence score</w:t>
            </w:r>
          </w:p>
        </w:tc>
        <w:tc>
          <w:tcPr>
            <w:tcMar>
              <w:top w:type="dxa" w:w="100"/>
              <w:left w:type="dxa" w:w="120"/>
              <w:bottom w:type="dxa" w:w="100"/>
              <w:right w:type="dxa" w:w="120"/>
            </w:tcMar>
            <w:vAlign w:val="top"/>
          </w:tcPr>
          <w:p>
            <w:r>
              <w:rPr>
                <w:b w:val="false"/>
                <w:bCs w:val="false"/>
                <w:color w:val="4A5570"/>
                <w:sz w:val="19"/>
                <w:szCs w:val="19"/>
              </w:rPr>
              <w:t xml:space="preserve">A per-field measure of how sure the extraction model is about a reading.</w:t>
            </w:r>
          </w:p>
        </w:tc>
      </w:tr>
      <w:tr>
        <w:tc>
          <w:tcPr>
            <w:tcMar>
              <w:top w:type="dxa" w:w="100"/>
              <w:left w:type="dxa" w:w="120"/>
              <w:bottom w:type="dxa" w:w="100"/>
              <w:right w:type="dxa" w:w="120"/>
            </w:tcMar>
            <w:vAlign w:val="top"/>
          </w:tcPr>
          <w:p>
            <w:r>
              <w:rPr>
                <w:b w:val="false"/>
                <w:bCs w:val="false"/>
                <w:color w:val="4A5570"/>
                <w:sz w:val="19"/>
                <w:szCs w:val="19"/>
              </w:rPr>
              <w:t xml:space="preserve">Worksheet</w:t>
            </w:r>
          </w:p>
        </w:tc>
        <w:tc>
          <w:tcPr>
            <w:tcMar>
              <w:top w:type="dxa" w:w="100"/>
              <w:left w:type="dxa" w:w="120"/>
              <w:bottom w:type="dxa" w:w="100"/>
              <w:right w:type="dxa" w:w="120"/>
            </w:tcMar>
            <w:vAlign w:val="top"/>
          </w:tcPr>
          <w:p>
            <w:r>
              <w:rPr>
                <w:b w:val="false"/>
                <w:bCs w:val="false"/>
                <w:color w:val="4A5570"/>
                <w:sz w:val="19"/>
                <w:szCs w:val="19"/>
              </w:rPr>
              <w:t xml:space="preserve">A filing-ready summary of figures built from approved documents, for jurisdictions with no direct file upload.</w:t>
            </w:r>
          </w:p>
        </w:tc>
      </w:tr>
      <w:tr>
        <w:tc>
          <w:tcPr>
            <w:tcMar>
              <w:top w:type="dxa" w:w="100"/>
              <w:left w:type="dxa" w:w="120"/>
              <w:bottom w:type="dxa" w:w="100"/>
              <w:right w:type="dxa" w:w="120"/>
            </w:tcMar>
            <w:vAlign w:val="top"/>
          </w:tcPr>
          <w:p>
            <w:r>
              <w:rPr>
                <w:b w:val="false"/>
                <w:bCs w:val="false"/>
                <w:color w:val="4A5570"/>
                <w:sz w:val="19"/>
                <w:szCs w:val="19"/>
              </w:rPr>
              <w:t xml:space="preserve">Country pack</w:t>
            </w:r>
          </w:p>
        </w:tc>
        <w:tc>
          <w:tcPr>
            <w:tcMar>
              <w:top w:type="dxa" w:w="100"/>
              <w:left w:type="dxa" w:w="120"/>
              <w:bottom w:type="dxa" w:w="100"/>
              <w:right w:type="dxa" w:w="120"/>
            </w:tcMar>
            <w:vAlign w:val="top"/>
          </w:tcPr>
          <w:p>
            <w:r>
              <w:rPr>
                <w:b w:val="false"/>
                <w:bCs w:val="false"/>
                <w:color w:val="4A5570"/>
                <w:sz w:val="19"/>
                <w:szCs w:val="19"/>
              </w:rPr>
              <w:t xml:space="preserve">A configuration bundle (filing calendars, field rules, worksheet mappings, message templates) that adapts the core product to one jurisdiction.</w:t>
            </w:r>
          </w:p>
        </w:tc>
      </w:tr>
      <w:tr>
        <w:tc>
          <w:tcPr>
            <w:tcMar>
              <w:top w:type="dxa" w:w="100"/>
              <w:left w:type="dxa" w:w="120"/>
              <w:bottom w:type="dxa" w:w="100"/>
              <w:right w:type="dxa" w:w="120"/>
            </w:tcMar>
            <w:vAlign w:val="top"/>
          </w:tcPr>
          <w:p>
            <w:r>
              <w:rPr>
                <w:b w:val="false"/>
                <w:bCs w:val="false"/>
                <w:color w:val="4A5570"/>
                <w:sz w:val="19"/>
                <w:szCs w:val="19"/>
              </w:rPr>
              <w:t xml:space="preserve">Vault</w:t>
            </w:r>
          </w:p>
        </w:tc>
        <w:tc>
          <w:tcPr>
            <w:tcMar>
              <w:top w:type="dxa" w:w="100"/>
              <w:left w:type="dxa" w:w="120"/>
              <w:bottom w:type="dxa" w:w="100"/>
              <w:right w:type="dxa" w:w="120"/>
            </w:tcMar>
            <w:vAlign w:val="top"/>
          </w:tcPr>
          <w:p>
            <w:r>
              <w:rPr>
                <w:b w:val="false"/>
                <w:bCs w:val="false"/>
                <w:color w:val="4A5570"/>
                <w:sz w:val="19"/>
                <w:szCs w:val="19"/>
              </w:rPr>
              <w:t xml:space="preserve">The organised, per-client document storage area.</w:t>
            </w:r>
          </w:p>
        </w:tc>
      </w:tr>
      <w:tr>
        <w:tc>
          <w:tcPr>
            <w:tcMar>
              <w:top w:type="dxa" w:w="100"/>
              <w:left w:type="dxa" w:w="120"/>
              <w:bottom w:type="dxa" w:w="100"/>
              <w:right w:type="dxa" w:w="120"/>
            </w:tcMar>
            <w:vAlign w:val="top"/>
          </w:tcPr>
          <w:p>
            <w:r>
              <w:rPr>
                <w:b w:val="false"/>
                <w:bCs w:val="false"/>
                <w:color w:val="4A5570"/>
                <w:sz w:val="19"/>
                <w:szCs w:val="19"/>
              </w:rPr>
              <w:t xml:space="preserve">Audit log</w:t>
            </w:r>
          </w:p>
        </w:tc>
        <w:tc>
          <w:tcPr>
            <w:tcMar>
              <w:top w:type="dxa" w:w="100"/>
              <w:left w:type="dxa" w:w="120"/>
              <w:bottom w:type="dxa" w:w="100"/>
              <w:right w:type="dxa" w:w="120"/>
            </w:tcMar>
            <w:vAlign w:val="top"/>
          </w:tcPr>
          <w:p>
            <w:r>
              <w:rPr>
                <w:b w:val="false"/>
                <w:bCs w:val="false"/>
                <w:color w:val="4A5570"/>
                <w:sz w:val="19"/>
                <w:szCs w:val="19"/>
              </w:rPr>
              <w:t xml:space="preserve">The immutable record of every state-changing action in the system.</w:t>
            </w:r>
          </w:p>
        </w:tc>
      </w:tr>
    </w:tbl>
    <w:p>
      <w:pPr>
        <w:spacing w:after="200"/>
      </w:pPr>
    </w:p>
    <w:p>
      <w:pPr>
        <w:pBdr>
          <w:top w:val="single" w:color="D7DEEC" w:sz="4"/>
        </w:pBdr>
        <w:spacing w:before="160"/>
      </w:pPr>
      <w:r>
        <w:rPr>
          <w:i/>
          <w:iCs/>
          <w:color w:val="6B7690"/>
          <w:sz w:val="18"/>
          <w:szCs w:val="18"/>
        </w:rPr>
        <w:t xml:space="preserve">Prepared for Taxflow.AI. This is a product planning document, not a finished specification — figures, accuracy targets and scope will be refined against real design-partner data before and during the alpha.</w:t>
      </w:r>
    </w:p>
    <w:sectPr>
      <w:headerReference w:type="default" r:id="rId7"/>
      <w:footerReference w:type="default" r:id="rId8"/>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90"/>
        <w:sz w:val="16"/>
        <w:szCs w:val="16"/>
      </w:rPr>
      <w:t xml:space="preserve">Page </w:t>
    </w:r>
    <w:r>
      <w:rPr>
        <w:color w:val="6B7690"/>
        <w:sz w:val="16"/>
        <w:szCs w:val="16"/>
      </w:rPr>
      <w:fldChar w:fldCharType="begin"/>
      <w:instrText xml:space="preserve">PAGE</w:instrText>
      <w:fldChar w:fldCharType="separate"/>
      <w:fldChar w:fldCharType="end"/>
    </w:r>
    <w:r>
      <w:rPr>
        <w:color w:val="6B7690"/>
        <w:sz w:val="16"/>
        <w:szCs w:val="16"/>
      </w:rPr>
      <w:t xml:space="preserve"> of </w:t>
    </w:r>
    <w:r>
      <w:rPr>
        <w:color w:val="6B769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C" w:sz="4"/>
      </w:pBdr>
      <w:spacing w:after="0"/>
      <w:jc w:val="right"/>
    </w:pPr>
    <w:r>
      <w:rPr>
        <w:color w:val="6B7690"/>
        <w:sz w:val="16"/>
        <w:szCs w:val="16"/>
      </w:rPr>
      <w:t xml:space="preserve">Taxflow.AI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7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Taxflow.AI — Product Requirements Document</dc:title>
  <dc:creator>Taxflow.AI</dc:creator>
  <cp:lastModifiedBy>Un-named</cp:lastModifiedBy>
  <cp:revision>1</cp:revision>
  <dcterms:created xsi:type="dcterms:W3CDTF">2026-09-24T19:53:04.631Z</dcterms:created>
  <dcterms:modified xsi:type="dcterms:W3CDTF">2026-09-24T19:53:04.632Z</dcterms:modified>
</cp:coreProperties>
</file>

<file path=docProps/custom.xml><?xml version="1.0" encoding="utf-8"?>
<Properties xmlns="http://schemas.openxmlformats.org/officeDocument/2006/custom-properties" xmlns:vt="http://schemas.openxmlformats.org/officeDocument/2006/docPropsVTypes"/>
</file>