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RFC-042: Orders API v2 — money in minor units, structured customer, payment-state rename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Orders team (orders-service)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 for rollout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Affects</w:t>
            </w:r>
          </w:p>
        </w:tc>
        <w:tc>
          <w:tcPr>
            <w:tcW w:type="dxa" w:w="4320"/>
          </w:tcPr>
          <w:p>
            <w:r>
              <w:t xml:space="preserve">REST </w:t>
            </w:r>
            <w:r>
              <w:rPr>
                <w:rFonts w:ascii="Consolas" w:hAnsi="Consolas"/>
              </w:rPr>
              <w:t>GET /orders/{order_id}</w:t>
            </w:r>
            <w:r>
              <w:t xml:space="preserve">, gRPC </w:t>
            </w:r>
            <w:r>
              <w:rPr>
                <w:rFonts w:ascii="Consolas" w:hAnsi="Consolas"/>
              </w:rPr>
              <w:t>orders.OrderLookup/GetOrderSummary</w:t>
            </w:r>
            <w:r>
              <w:t xml:space="preserve">, database table </w:t>
            </w:r>
            <w:r>
              <w:rPr>
                <w:rFonts w:ascii="Consolas" w:hAnsi="Consolas"/>
              </w:rPr>
              <w:t>orders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Known consumers</w:t>
            </w:r>
          </w:p>
        </w:tc>
        <w:tc>
          <w:tcPr>
            <w:tcW w:type="dxa" w:w="4320"/>
          </w:tcPr>
          <w:p>
            <w:r>
              <w:t>billing-service (invoices, payment status, revenue report)</w:t>
            </w:r>
          </w:p>
        </w:tc>
      </w:tr>
    </w:tbl>
    <w:p>
      <w:pPr>
        <w:pStyle w:val="Heading1"/>
      </w:pPr>
      <w:r>
        <w:t>1. Summary</w:t>
      </w:r>
    </w:p>
    <w:p>
      <w:r>
        <w:t xml:space="preserve">Orders v2 changes how an order's money, customer and payment state are represented. The REST payload, the gRPC </w:t>
      </w:r>
      <w:r>
        <w:rPr>
          <w:rFonts w:ascii="Consolas" w:hAnsi="Consolas"/>
        </w:rPr>
        <w:t>OrderSummary</w:t>
      </w:r>
      <w:r>
        <w:t xml:space="preserve"> message and the </w:t>
      </w:r>
      <w:r>
        <w:rPr>
          <w:rFonts w:ascii="Consolas" w:hAnsi="Consolas"/>
        </w:rPr>
        <w:t>orders</w:t>
      </w:r>
      <w:r>
        <w:t xml:space="preserve"> table all change in the same release (PR "Orders API v2").</w:t>
      </w:r>
    </w:p>
    <w:p>
      <w:pPr>
        <w:pStyle w:val="Heading1"/>
      </w:pPr>
      <w:r>
        <w:t>2. Motivation</w:t>
      </w:r>
    </w:p>
    <w:p>
      <w:pPr>
        <w:pStyle w:val="ListNumber"/>
      </w:pPr>
      <w:r>
        <w:rPr>
          <w:b/>
        </w:rPr>
        <w:t>Float money caused rounding incidents.</w:t>
      </w:r>
      <w:r>
        <w:t xml:space="preserve"> Invoices built from </w:t>
      </w:r>
      <w:r>
        <w:rPr>
          <w:rFonts w:ascii="Consolas" w:hAnsi="Consolas"/>
        </w:rPr>
        <w:t>total_price: 19.99</w:t>
      </w:r>
      <w:r>
        <w:t xml:space="preserve"> were off by one cent after tax in two incidents. Money must be integer minor units plus an ISO 4217 currency.</w:t>
      </w:r>
    </w:p>
    <w:p>
      <w:pPr>
        <w:pStyle w:val="ListNumber"/>
      </w:pPr>
      <w:r>
        <w:rPr>
          <w:b/>
        </w:rPr>
        <w:t>Customer identity.</w:t>
      </w:r>
      <w:r>
        <w:t xml:space="preserve"> Consumers need a stable </w:t>
      </w:r>
      <w:r>
        <w:rPr>
          <w:rFonts w:ascii="Consolas" w:hAnsi="Consolas"/>
        </w:rPr>
        <w:t>customer_id</w:t>
      </w:r>
      <w:r>
        <w:t>, not only a display name.</w:t>
      </w:r>
    </w:p>
    <w:p>
      <w:pPr>
        <w:pStyle w:val="ListNumber"/>
      </w:pPr>
      <w:r>
        <w:rPr>
          <w:b/>
        </w:rPr>
        <w:t>Clearer payment state.</w:t>
      </w:r>
      <w:r>
        <w:t xml:space="preserve"> </w:t>
      </w:r>
      <w:r>
        <w:rPr>
          <w:rFonts w:ascii="Consolas" w:hAnsi="Consolas"/>
        </w:rPr>
        <w:t>PENDING</w:t>
      </w:r>
      <w:r>
        <w:t xml:space="preserve"> was read as "pending shipment" by some teams. The new name is </w:t>
      </w:r>
      <w:r>
        <w:rPr>
          <w:rFonts w:ascii="Consolas" w:hAnsi="Consolas"/>
        </w:rPr>
        <w:t>AWAITING_PAYMENT</w:t>
      </w:r>
      <w:r>
        <w:t>.</w:t>
      </w:r>
    </w:p>
    <w:p>
      <w:pPr>
        <w:pStyle w:val="Heading1"/>
      </w:pPr>
      <w:r>
        <w:t>3. Detailed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Consumer impact</w:t>
            </w:r>
          </w:p>
        </w:tc>
      </w:tr>
      <w:tr>
        <w:tc>
          <w:tcPr>
            <w:tcW w:type="dxa" w:w="1728"/>
          </w:tcPr>
          <w:p>
            <w:r>
              <w:t>CH1</w:t>
            </w:r>
          </w:p>
        </w:tc>
        <w:tc>
          <w:tcPr>
            <w:tcW w:type="dxa" w:w="1728"/>
          </w:tcPr>
          <w:p>
            <w:r>
              <w:t>REST + gRPC + DB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total_price</w:t>
            </w:r>
            <w:r>
              <w:t xml:space="preserve"> (decimal major units, e.g. 19.99)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total { amount_minor: 1999, currency: "USD" }</w:t>
            </w:r>
            <w:r>
              <w:t xml:space="preserve"> (gRPC: </w:t>
            </w:r>
            <w:r>
              <w:rPr>
                <w:rFonts w:ascii="Consolas" w:hAnsi="Consolas"/>
              </w:rPr>
              <w:t>Money total = 6</w:t>
            </w:r>
            <w:r>
              <w:t xml:space="preserve">; DB: </w:t>
            </w:r>
            <w:r>
              <w:rPr>
                <w:rFonts w:ascii="Consolas" w:hAnsi="Consolas"/>
              </w:rPr>
              <w:t>total_minor</w:t>
            </w:r>
            <w:r>
              <w:t xml:space="preserve"> + </w:t>
            </w:r>
            <w:r>
              <w:rPr>
                <w:rFonts w:ascii="Consolas" w:hAnsi="Consolas"/>
              </w:rPr>
              <w:t>currency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Breaking</w:t>
            </w:r>
            <w:r>
              <w:t>: field removed</w:t>
            </w:r>
          </w:p>
        </w:tc>
      </w:tr>
      <w:tr>
        <w:tc>
          <w:tcPr>
            <w:tcW w:type="dxa" w:w="1728"/>
          </w:tcPr>
          <w:p>
            <w:r>
              <w:t>CH2</w:t>
            </w:r>
          </w:p>
        </w:tc>
        <w:tc>
          <w:tcPr>
            <w:tcW w:type="dxa" w:w="1728"/>
          </w:tcPr>
          <w:p>
            <w:r>
              <w:t>REST + gRPC + DB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customer_name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customer { customer_id, display_name }</w:t>
            </w:r>
            <w:r>
              <w:t xml:space="preserve"> (gRPC: </w:t>
            </w:r>
            <w:r>
              <w:rPr>
                <w:rFonts w:ascii="Consolas" w:hAnsi="Consolas"/>
              </w:rPr>
              <w:t>Customer customer = 5</w:t>
            </w:r>
            <w:r>
              <w:t xml:space="preserve">; DB: </w:t>
            </w:r>
            <w:r>
              <w:rPr>
                <w:rFonts w:ascii="Consolas" w:hAnsi="Consolas"/>
              </w:rPr>
              <w:t>customer_display_name</w:t>
            </w:r>
            <w:r>
              <w:t xml:space="preserve"> + </w:t>
            </w:r>
            <w:r>
              <w:rPr>
                <w:rFonts w:ascii="Consolas" w:hAnsi="Consolas"/>
              </w:rPr>
              <w:t>customer_id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Breaking</w:t>
            </w:r>
            <w:r>
              <w:t>: field moved</w:t>
            </w:r>
          </w:p>
        </w:tc>
      </w:tr>
      <w:tr>
        <w:tc>
          <w:tcPr>
            <w:tcW w:type="dxa" w:w="1728"/>
          </w:tcPr>
          <w:p>
            <w:r>
              <w:t>CH3</w:t>
            </w:r>
          </w:p>
        </w:tc>
        <w:tc>
          <w:tcPr>
            <w:tcW w:type="dxa" w:w="1728"/>
          </w:tcPr>
          <w:p>
            <w:r>
              <w:t>REST + gRPC + DB</w:t>
            </w:r>
          </w:p>
        </w:tc>
        <w:tc>
          <w:tcPr>
            <w:tcW w:type="dxa" w:w="1728"/>
          </w:tcPr>
          <w:p>
            <w:r>
              <w:t xml:space="preserve">status </w:t>
            </w:r>
            <w:r>
              <w:rPr>
                <w:rFonts w:ascii="Consolas" w:hAnsi="Consolas"/>
              </w:rPr>
              <w:t>PENDING</w:t>
            </w:r>
          </w:p>
        </w:tc>
        <w:tc>
          <w:tcPr>
            <w:tcW w:type="dxa" w:w="1728"/>
          </w:tcPr>
          <w:p>
            <w:r>
              <w:t xml:space="preserve">status </w:t>
            </w:r>
            <w:r>
              <w:rPr>
                <w:rFonts w:ascii="Consolas" w:hAnsi="Consolas"/>
              </w:rPr>
              <w:t>AWAITING_PAYMENT</w:t>
            </w:r>
            <w:r>
              <w:t xml:space="preserve"> (gRPC enum value 1 renamed, same number)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Breaking</w:t>
            </w:r>
            <w:r>
              <w:t xml:space="preserve">: value renamed. A consumer that treats </w:t>
            </w:r>
            <w:r>
              <w:rPr>
                <w:rFonts w:ascii="Consolas" w:hAnsi="Consolas"/>
              </w:rPr>
              <w:t>PENDING</w:t>
            </w:r>
            <w:r>
              <w:t xml:space="preserve"> as "not payable" will silently treat unpaid orders as payable</w:t>
            </w:r>
          </w:p>
        </w:tc>
      </w:tr>
      <w:tr>
        <w:tc>
          <w:tcPr>
            <w:tcW w:type="dxa" w:w="1728"/>
          </w:tcPr>
          <w:p>
            <w:r>
              <w:t>CH4</w:t>
            </w:r>
          </w:p>
        </w:tc>
        <w:tc>
          <w:tcPr>
            <w:tcW w:type="dxa" w:w="1728"/>
          </w:tcPr>
          <w:p>
            <w:r>
              <w:t>REST + gRPC + DB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optional </w:t>
            </w:r>
            <w:r>
              <w:rPr>
                <w:rFonts w:ascii="Consolas" w:hAnsi="Consolas"/>
              </w:rPr>
              <w:t>shipping_eta</w:t>
            </w:r>
            <w:r>
              <w:t xml:space="preserve"> (RFC 3339)</w:t>
            </w:r>
          </w:p>
        </w:tc>
        <w:tc>
          <w:tcPr>
            <w:tcW w:type="dxa" w:w="1728"/>
          </w:tcPr>
          <w:p>
            <w:r>
              <w:t>Non-breaking: additive</w:t>
            </w:r>
          </w:p>
        </w:tc>
      </w:tr>
      <w:tr>
        <w:tc>
          <w:tcPr>
            <w:tcW w:type="dxa" w:w="1728"/>
          </w:tcPr>
          <w:p>
            <w:r>
              <w:t>MIG</w:t>
            </w:r>
          </w:p>
        </w:tc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 xml:space="preserve">migration </w:t>
            </w:r>
            <w:r>
              <w:rPr>
                <w:rFonts w:ascii="Consolas" w:hAnsi="Consolas"/>
              </w:rPr>
              <w:t>0001</w:t>
            </w:r>
          </w:p>
        </w:tc>
        <w:tc>
          <w:tcPr>
            <w:tcW w:type="dxa" w:w="1728"/>
          </w:tcPr>
          <w:p>
            <w:r>
              <w:t xml:space="preserve">migration </w:t>
            </w:r>
            <w:r>
              <w:rPr>
                <w:rFonts w:ascii="Consolas" w:hAnsi="Consolas"/>
              </w:rPr>
              <w:t>0002_money_customer_status</w:t>
            </w:r>
          </w:p>
        </w:tc>
        <w:tc>
          <w:tcPr>
            <w:tcW w:type="dxa" w:w="1728"/>
          </w:tcPr>
          <w:p>
            <w:r>
              <w:t xml:space="preserve">Readers of </w:t>
            </w:r>
            <w:r>
              <w:rPr>
                <w:rFonts w:ascii="Consolas" w:hAnsi="Consolas"/>
              </w:rPr>
              <w:t>orders.total_price</w:t>
            </w:r>
            <w:r>
              <w:t xml:space="preserve"> / </w:t>
            </w:r>
            <w:r>
              <w:rPr>
                <w:rFonts w:ascii="Consolas" w:hAnsi="Consolas"/>
              </w:rPr>
              <w:t>orders.customer_name</w:t>
            </w:r>
            <w:r>
              <w:t xml:space="preserve"> break</w:t>
            </w:r>
          </w:p>
        </w:tc>
      </w:tr>
    </w:tbl>
    <w:p>
      <w:r>
        <w:t>gRPC notes: fields 2 (</w:t>
      </w:r>
      <w:r>
        <w:rPr>
          <w:rFonts w:ascii="Consolas" w:hAnsi="Consolas"/>
        </w:rPr>
        <w:t>customer_name</w:t>
      </w:r>
      <w:r>
        <w:t>) and 3 (</w:t>
      </w:r>
      <w:r>
        <w:rPr>
          <w:rFonts w:ascii="Consolas" w:hAnsi="Consolas"/>
        </w:rPr>
        <w:t>total_price</w:t>
      </w:r>
      <w:r>
        <w:t xml:space="preserve">) are </w:t>
      </w:r>
      <w:r>
        <w:rPr>
          <w:b/>
        </w:rPr>
        <w:t>removed and reserved</w:t>
      </w:r>
      <w:r>
        <w:t>. Their numbers will never be reused, so a consumer may keep reading them from old servers during the rollout.</w:t>
      </w:r>
    </w:p>
    <w:p>
      <w:pPr>
        <w:pStyle w:val="Heading1"/>
      </w:pPr>
      <w:r>
        <w:t>4. Compatibility</w:t>
      </w:r>
    </w:p>
    <w:p>
      <w:r>
        <w:t xml:space="preserve">v2 is </w:t>
      </w:r>
      <w:r>
        <w:rPr>
          <w:b/>
        </w:rPr>
        <w:t>not</w:t>
      </w:r>
      <w:r>
        <w:t xml:space="preserve"> backward compatible for consumers. Old clients get no error, just missing data. Old REST clients fail on the missing </w:t>
      </w:r>
      <w:r>
        <w:rPr>
          <w:rFonts w:ascii="Consolas" w:hAnsi="Consolas"/>
        </w:rPr>
        <w:t>total_price</w:t>
      </w:r>
      <w:r>
        <w:t xml:space="preserve">. Old gRPC clients read </w:t>
      </w:r>
      <w:r>
        <w:rPr>
          <w:rFonts w:ascii="Consolas" w:hAnsi="Consolas"/>
        </w:rPr>
        <w:t>total_price</w:t>
      </w:r>
      <w:r>
        <w:t xml:space="preserve"> as </w:t>
      </w:r>
      <w:r>
        <w:rPr>
          <w:rFonts w:ascii="Consolas" w:hAnsi="Consolas"/>
        </w:rPr>
        <w:t>0.0</w:t>
      </w:r>
      <w:r>
        <w:t>, which is silent. Old SQL reports fail on the dropped column.</w:t>
      </w:r>
    </w:p>
    <w:p>
      <w:pPr>
        <w:pStyle w:val="Heading1"/>
      </w:pPr>
      <w:r>
        <w:t>5. Rollout plan</w:t>
      </w:r>
    </w:p>
    <w:p>
      <w:pPr>
        <w:pStyle w:val="ListNumber"/>
      </w:pPr>
      <w:r>
        <w:t xml:space="preserve">Consumers ship </w:t>
      </w:r>
      <w:r>
        <w:rPr>
          <w:b/>
        </w:rPr>
        <w:t>tolerant readers</w:t>
      </w:r>
      <w:r>
        <w:t xml:space="preserve"> that accept v1 and v2 at the same time (see §6).</w:t>
      </w:r>
    </w:p>
    <w:p>
      <w:pPr>
        <w:pStyle w:val="ListNumber"/>
      </w:pPr>
      <w:r>
        <w:t xml:space="preserve">Orders deploys v2 (migration </w:t>
      </w:r>
      <w:r>
        <w:rPr>
          <w:rFonts w:ascii="Consolas" w:hAnsi="Consolas"/>
        </w:rPr>
        <w:t>0002</w:t>
      </w:r>
      <w:r>
        <w:t xml:space="preserve"> runs at deploy).</w:t>
      </w:r>
    </w:p>
    <w:p>
      <w:pPr>
        <w:pStyle w:val="ListNumber"/>
      </w:pPr>
      <w:r>
        <w:t>After one week, consumers remove the v1 code paths in a cleanup PR.</w:t>
      </w:r>
    </w:p>
    <w:p>
      <w:pPr>
        <w:pStyle w:val="Heading1"/>
      </w:pPr>
      <w:r>
        <w:t>6. Migration guidance for consumers</w:t>
      </w:r>
    </w:p>
    <w:p>
      <w:pPr>
        <w:pStyle w:val="ListBullet"/>
      </w:pPr>
      <w:r>
        <w:rPr>
          <w:b/>
        </w:rPr>
        <w:t>REST:</w:t>
      </w:r>
      <w:r>
        <w:t xml:space="preserve"> read </w:t>
      </w:r>
      <w:r>
        <w:rPr>
          <w:rFonts w:ascii="Consolas" w:hAnsi="Consolas"/>
        </w:rPr>
        <w:t>total.amount_minor</w:t>
      </w:r>
      <w:r>
        <w:t xml:space="preserve"> when present, else </w:t>
      </w:r>
      <w:r>
        <w:rPr>
          <w:rFonts w:ascii="Consolas" w:hAnsi="Consolas"/>
        </w:rPr>
        <w:t>round(total_price * 100)</w:t>
      </w:r>
      <w:r>
        <w:t xml:space="preserve">. Read </w:t>
      </w:r>
      <w:r>
        <w:rPr>
          <w:rFonts w:ascii="Consolas" w:hAnsi="Consolas"/>
        </w:rPr>
        <w:t>customer.display_name</w:t>
      </w:r>
      <w:r>
        <w:t xml:space="preserve"> when present, else </w:t>
      </w:r>
      <w:r>
        <w:rPr>
          <w:rFonts w:ascii="Consolas" w:hAnsi="Consolas"/>
        </w:rPr>
        <w:t>customer_name</w:t>
      </w:r>
      <w:r>
        <w:t xml:space="preserve">. Treat both </w:t>
      </w:r>
      <w:r>
        <w:rPr>
          <w:rFonts w:ascii="Consolas" w:hAnsi="Consolas"/>
        </w:rPr>
        <w:t>PENDING</w:t>
      </w:r>
      <w:r>
        <w:t xml:space="preserve"> and </w:t>
      </w:r>
      <w:r>
        <w:rPr>
          <w:rFonts w:ascii="Consolas" w:hAnsi="Consolas"/>
        </w:rPr>
        <w:t>AWAITING_PAYMENT</w:t>
      </w:r>
      <w:r>
        <w:t xml:space="preserve"> as "not payable".</w:t>
      </w:r>
    </w:p>
    <w:p>
      <w:pPr>
        <w:pStyle w:val="ListBullet"/>
      </w:pPr>
      <w:r>
        <w:rPr>
          <w:b/>
        </w:rPr>
        <w:t>gRPC:</w:t>
      </w:r>
      <w:r>
        <w:t xml:space="preserve"> vendor the v2 proto but </w:t>
      </w:r>
      <w:r>
        <w:rPr>
          <w:b/>
        </w:rPr>
        <w:t>re-declare fields 2 and 3</w:t>
      </w:r>
      <w:r>
        <w:t xml:space="preserve"> as </w:t>
      </w:r>
      <w:r>
        <w:rPr>
          <w:rFonts w:ascii="Consolas" w:hAnsi="Consolas"/>
        </w:rPr>
        <w:t>[deprecated = true]</w:t>
      </w:r>
      <w:r>
        <w:t xml:space="preserve"> in your copy, so one set of stubs can read both server versions. Prefer </w:t>
      </w:r>
      <w:r>
        <w:rPr>
          <w:rFonts w:ascii="Consolas" w:hAnsi="Consolas"/>
        </w:rPr>
        <w:t>total</w:t>
      </w:r>
      <w:r>
        <w:t xml:space="preserve"> / </w:t>
      </w:r>
      <w:r>
        <w:rPr>
          <w:rFonts w:ascii="Consolas" w:hAnsi="Consolas"/>
        </w:rPr>
        <w:t>customer</w:t>
      </w:r>
      <w:r>
        <w:t xml:space="preserve"> when </w:t>
      </w:r>
      <w:r>
        <w:rPr>
          <w:rFonts w:ascii="Consolas" w:hAnsi="Consolas"/>
        </w:rPr>
        <w:t>HasField(...)</w:t>
      </w:r>
      <w:r>
        <w:t xml:space="preserve"> is true.</w:t>
      </w:r>
    </w:p>
    <w:p>
      <w:pPr>
        <w:pStyle w:val="ListBullet"/>
      </w:pPr>
      <w:r>
        <w:rPr>
          <w:b/>
        </w:rPr>
        <w:t>SQL:</w:t>
      </w:r>
      <w:r>
        <w:t xml:space="preserve"> check </w:t>
      </w:r>
      <w:r>
        <w:rPr>
          <w:rFonts w:ascii="Consolas" w:hAnsi="Consolas"/>
        </w:rPr>
        <w:t>alembic_version.version_num</w:t>
      </w:r>
      <w:r>
        <w:t xml:space="preserve">. Use </w:t>
      </w:r>
      <w:r>
        <w:rPr>
          <w:rFonts w:ascii="Consolas" w:hAnsi="Consolas"/>
        </w:rPr>
        <w:t>SUM(total_price)</w:t>
      </w:r>
      <w:r>
        <w:t xml:space="preserve"> for </w:t>
      </w:r>
      <w:r>
        <w:rPr>
          <w:rFonts w:ascii="Consolas" w:hAnsi="Consolas"/>
        </w:rPr>
        <w:t>0001</w:t>
      </w:r>
      <w:r>
        <w:t xml:space="preserve"> and </w:t>
      </w:r>
      <w:r>
        <w:rPr>
          <w:rFonts w:ascii="Consolas" w:hAnsi="Consolas"/>
        </w:rPr>
        <w:t>SUM(total_minor)</w:t>
      </w:r>
      <w:r>
        <w:t xml:space="preserve"> for </w:t>
      </w:r>
      <w:r>
        <w:rPr>
          <w:rFonts w:ascii="Consolas" w:hAnsi="Consolas"/>
        </w:rPr>
        <w:t>0002</w:t>
      </w:r>
      <w:r>
        <w:t>.</w:t>
      </w:r>
    </w:p>
    <w:p>
      <w:pPr>
        <w:pStyle w:val="ListBullet"/>
      </w:pPr>
      <w:r>
        <w:t>Keep your own public API unchanged.</w:t>
      </w:r>
    </w:p>
    <w:p>
      <w:pPr>
        <w:pStyle w:val="Heading1"/>
      </w:pPr>
      <w:r>
        <w:t>7. Open questions</w:t>
      </w:r>
    </w:p>
    <w:p>
      <w:pPr>
        <w:pStyle w:val="ListBullet"/>
      </w:pPr>
      <w:r>
        <w:t xml:space="preserve">Should </w:t>
      </w:r>
      <w:r>
        <w:rPr>
          <w:rFonts w:ascii="Consolas" w:hAnsi="Consolas"/>
        </w:rPr>
        <w:t>shipping_eta</w:t>
      </w:r>
      <w:r>
        <w:t xml:space="preserve"> become required once all carriers report it? (Not in v2.)</w:t>
      </w:r>
    </w:p>
    <w:p>
      <w:pPr>
        <w:pStyle w:val="Heading1"/>
      </w:pPr>
      <w:r>
        <w:t>8. Approvals</w:t>
      </w:r>
    </w:p>
    <w:p>
      <w:r>
        <w:t>Orders lead ✅ · Platform architecture ✅ · Billing lead ⏳ (needs a companion change before rollout)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