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Additional Activities to Enhance Delivery Performance</w:t>
      </w:r>
    </w:p>
    <w:p>
      <w:pPr>
        <w:spacing w:before="120" w:after="120"/>
        <w:jc w:val="left"/>
      </w:pPr>
      <w:r>
        <w:rPr>
          <w:rFonts w:ascii="Calibri" w:hAnsi="Calibri"/>
          <w:b/>
          <w:sz w:val="28"/>
        </w:rPr>
        <w:t>1. Introduction:  This document outlines additional activities beyond technology and systematic improvements to enhance delivery performance.  These focus on operational efficiencies, communication, and proactive issue management.</w:t>
      </w:r>
    </w:p>
    <w:p>
      <w:pPr>
        <w:spacing w:before="120" w:after="120"/>
        <w:jc w:val="left"/>
      </w:pPr>
      <w:r>
        <w:rPr>
          <w:rFonts w:ascii="Calibri" w:hAnsi="Calibri"/>
          <w:b/>
          <w:sz w:val="28"/>
        </w:rPr>
        <w:t>2. Process Optimization:</w:t>
      </w:r>
    </w:p>
    <w:p>
      <w:pPr>
        <w:pStyle w:val="ListBullet"/>
        <w:spacing w:before="120" w:after="120"/>
      </w:pPr>
      <w:r>
        <w:t>Route Optimization:  Analyze delivery routes to identify inefficiencies and optimize delivery schedules.  This may involve using route planning software or leveraging the expertise of logistics professionals.</w:t>
      </w:r>
    </w:p>
    <w:p>
      <w:pPr>
        <w:pStyle w:val="ListBullet"/>
        <w:spacing w:before="120" w:after="120"/>
      </w:pPr>
      <w:r>
        <w:t>Inventory Management:  Effective inventory management minimizes stockouts and delays. This includes forecasting demand, optimizing stock levels, and efficient warehouse operations.</w:t>
      </w:r>
    </w:p>
    <w:p>
      <w:pPr>
        <w:pStyle w:val="ListBullet"/>
        <w:spacing w:before="120" w:after="120"/>
      </w:pPr>
      <w:r>
        <w:t>Packaging and Handling:  Ensure products are properly packaged and handled to prevent damage during transit.  Use appropriate packaging materials and provide clear handling instructions.</w:t>
      </w:r>
    </w:p>
    <w:p>
      <w:pPr>
        <w:pStyle w:val="ListBullet"/>
        <w:spacing w:before="120" w:after="120"/>
      </w:pPr>
      <w:r>
        <w:t>Improved Warehouse Management:  Efficient warehouse processes minimize order fulfillment time and reduce errors.  Implement techniques like lean manufacturing principles.</w:t>
      </w:r>
    </w:p>
    <w:p>
      <w:pPr>
        <w:spacing w:before="120" w:after="120"/>
        <w:jc w:val="left"/>
      </w:pPr>
      <w:r>
        <w:rPr>
          <w:rFonts w:ascii="Calibri" w:hAnsi="Calibri"/>
          <w:b/>
          <w:sz w:val="28"/>
        </w:rPr>
        <w:t>3. Communication and Collaboration:</w:t>
      </w:r>
    </w:p>
    <w:p>
      <w:pPr>
        <w:pStyle w:val="ListBullet"/>
        <w:spacing w:before="120" w:after="120"/>
      </w:pPr>
      <w:r>
        <w:t>Real-Time Communication:  Establish clear communication channels between different departments involved in the delivery process (e.g., order management, production, warehouse, transportation).</w:t>
      </w:r>
    </w:p>
    <w:p>
      <w:pPr>
        <w:pStyle w:val="ListBullet"/>
        <w:spacing w:before="120" w:after="120"/>
      </w:pPr>
      <w:r>
        <w:t>Customer Communication:  Maintain regular communication with customers to provide delivery updates and address any concerns promptly.</w:t>
      </w:r>
    </w:p>
    <w:p>
      <w:pPr>
        <w:pStyle w:val="ListBullet"/>
        <w:spacing w:before="120" w:after="120"/>
      </w:pPr>
      <w:r>
        <w:t>Supplier Collaboration:  Collaborate with suppliers to ensure timely delivery of raw materials and components.</w:t>
      </w:r>
    </w:p>
    <w:p>
      <w:pPr>
        <w:spacing w:before="120" w:after="120"/>
        <w:jc w:val="left"/>
      </w:pPr>
      <w:r>
        <w:rPr>
          <w:rFonts w:ascii="Calibri" w:hAnsi="Calibri"/>
          <w:b/>
          <w:sz w:val="28"/>
        </w:rPr>
        <w:t>4. Proactive Issue Management:</w:t>
      </w:r>
    </w:p>
    <w:p>
      <w:pPr>
        <w:pStyle w:val="ListBullet"/>
        <w:spacing w:before="120" w:after="120"/>
      </w:pPr>
      <w:r>
        <w:t>Predictive Analytics:  Use data analysis to predict potential delivery problems and proactively take steps to mitigate them.</w:t>
      </w:r>
    </w:p>
    <w:p>
      <w:pPr>
        <w:pStyle w:val="ListBullet"/>
        <w:spacing w:before="120" w:after="120"/>
      </w:pPr>
      <w:r>
        <w:t>Contingency Planning:  Develop contingency plans to handle unexpected events (e.g., traffic delays, vehicle breakdowns).</w:t>
      </w:r>
    </w:p>
    <w:p>
      <w:pPr>
        <w:pStyle w:val="ListBullet"/>
        <w:spacing w:before="120" w:after="120"/>
      </w:pPr>
      <w:r>
        <w:t>Regular Performance Reviews:  Conduct regular performance reviews of the delivery process to identify areas for improvement and celebrate successes.</w:t>
      </w:r>
    </w:p>
    <w:p>
      <w:pPr>
        <w:spacing w:before="120" w:after="120"/>
        <w:jc w:val="left"/>
      </w:pPr>
      <w:r>
        <w:rPr>
          <w:rFonts w:ascii="Calibri" w:hAnsi="Calibri"/>
          <w:b/>
          <w:sz w:val="28"/>
        </w:rPr>
        <w:t>5. Compliance Notes:</w:t>
      </w:r>
    </w:p>
    <w:p>
      <w:pPr>
        <w:pStyle w:val="ListBullet"/>
        <w:spacing w:before="120" w:after="120"/>
      </w:pPr>
      <w:r>
        <w:t>Ensure compliance with all relevant transportation regulations and safety standards.</w:t>
      </w:r>
    </w:p>
    <w:p>
      <w:pPr>
        <w:pStyle w:val="ListBullet"/>
        <w:spacing w:before="120" w:after="120"/>
      </w:pPr>
      <w:r>
        <w:t>Maintain accurate records of all delivery-related activities.</w:t>
      </w:r>
    </w:p>
    <w:p>
      <w:pPr>
        <w:spacing w:before="120" w:after="120"/>
        <w:jc w:val="left"/>
      </w:pPr>
      <w:r>
        <w:rPr>
          <w:rFonts w:ascii="Calibri" w:hAnsi="Calibri"/>
          <w:b/>
          <w:sz w:val="28"/>
        </w:rPr>
        <w:t>6. Practical Guidelines:</w:t>
      </w:r>
    </w:p>
    <w:p>
      <w:pPr>
        <w:pStyle w:val="ListBullet"/>
        <w:spacing w:before="120" w:after="120"/>
      </w:pPr>
      <w:r>
        <w:t>Conduct regular training for all staff involved in the delivery process.</w:t>
      </w:r>
    </w:p>
    <w:p>
      <w:pPr>
        <w:pStyle w:val="ListBullet"/>
        <w:spacing w:before="120" w:after="120"/>
      </w:pPr>
      <w:r>
        <w:t>Establish clear roles and responsibilities.</w:t>
      </w:r>
    </w:p>
    <w:p>
      <w:pPr>
        <w:pStyle w:val="ListBullet"/>
        <w:spacing w:before="120" w:after="120"/>
      </w:pPr>
      <w:r>
        <w:t>Use feedback mechanisms to gather information on areas for improvement.</w:t>
      </w:r>
    </w:p>
    <w:p>
      <w:pPr>
        <w:pStyle w:val="ListBullet"/>
        <w:spacing w:before="120" w:after="120"/>
      </w:pPr>
      <w:r>
        <w:t>Continuously monitor and review delivery performance to identify opportunities for enhancement.</w:t>
      </w:r>
    </w:p>
    <w:p>
      <w:pPr>
        <w:pStyle w:val="ListBullet"/>
        <w:spacing w:before="120" w:after="120"/>
      </w:pPr>
      <w:r>
        <w:t>Use data-driven decision-making to guide process improvements.</w:t>
      </w:r>
    </w:p>
    <w:p>
      <w:pPr>
        <w:spacing w:before="120" w:after="120"/>
        <w:jc w:val="left"/>
      </w:pPr>
      <w:r>
        <w:rPr>
          <w:rFonts w:ascii="Calibri" w:hAnsi="Calibri"/>
          <w:sz w:val="22"/>
        </w:rPr>
        <w:t>This comprehensive documentation provides a robust framework for ensuring efficient and reliable food product deliveries while maintaining the highest standards of food safety and customer satisfaction.  Regular review and updating of these procedures are crucial to adapt to evolving regulations, operational changes, and technological advancements within the food manufacturing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