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jc w:val="center"/>
        <w:tblLayout w:type="fixed"/>
        <w:tblLook w:firstColumn="1" w:firstRow="1" w:lastColumn="0" w:lastRow="0" w:noHBand="0" w:noVBand="1" w:val="04A0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</w:tblPr>
      <w:tblGrid>
        <w:gridCol w:w="2160"/>
        <w:gridCol w:w="5040"/>
        <w:gridCol w:w="3600"/>
      </w:tblGrid>
      <w:tr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1097280" cy="689976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0b50910d-a6a1-492d-b1c9-8581771f52d0_tcs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7280" cy="6899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880"/>
            <w:vMerge w:val="restart"/>
            <w:vAlign w:val="center"/>
          </w:tcPr>
          <w:p>
            <w:pPr>
              <w:jc w:val="center"/>
            </w:pPr>
            <w:r>
              <w:rPr>
                <w:b/>
                <w:sz w:val="26"/>
              </w:rPr>
              <w:t>TCS</w:t>
              <w:br/>
            </w:r>
            <w:r>
              <w:rPr>
                <w:sz w:val="22"/>
              </w:rPr>
              <w:t>Vijay</w:t>
            </w:r>
          </w:p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DOC.NO: M.122.NC</w:t>
            </w:r>
          </w:p>
        </w:tc>
      </w:tr>
      <w:tr>
        <w:tc>
          <w:tcPr>
            <w:tcW w:type="dxa" w:w="2880"/>
            <w:vMerge/>
          </w:tcPr>
          <w:p/>
        </w:tc>
        <w:tc>
          <w:tcPr>
            <w:tcW w:type="dxa" w:w="2880"/>
            <w:vMerge/>
          </w:tcPr>
          <w:p/>
        </w:tc>
        <w:tc>
          <w:tcPr>
            <w:tcW w:type="dxa" w:w="2880"/>
            <w:vAlign w:val="center"/>
          </w:tcPr>
          <w:p>
            <w:pPr>
              <w:jc w:val="left"/>
            </w:pPr>
            <w:r>
              <w:rPr>
                <w:b/>
                <w:sz w:val="22"/>
              </w:rPr>
              <w:t>EFFECTIVE</w:t>
              <w:br/>
            </w:r>
            <w:r>
              <w:rPr>
                <w:b/>
                <w:sz w:val="22"/>
              </w:rPr>
              <w:t>DATE: 04/05/2009</w:t>
            </w:r>
          </w:p>
        </w:tc>
      </w:tr>
    </w:tbl>
    <w:p>
      <w:pPr>
        <w:spacing w:after="240"/>
        <w:jc w:val="center"/>
      </w:pPr>
      <w:r>
        <w:rPr>
          <w:b/>
          <w:sz w:val="28"/>
        </w:rPr>
        <w:t>Monitoring &amp; Measuring Delivery Timelines (On-Time in Full)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1. Introduction: This document outlines the processes for monitoring and measuring on-time and in-full (OTIF) delivery performance for food products.  OTIF is a key performance indicator (KPI) reflecting efficiency and customer satisfaction.  Consistent monitoring and analysis drive process improvements.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2. Key Performance Indicators (KPIs):</w:t>
      </w:r>
    </w:p>
    <w:p>
      <w:pPr>
        <w:pStyle w:val="ListBullet"/>
        <w:spacing w:before="120" w:after="120"/>
      </w:pPr>
      <w:r>
        <w:t>On-Time Delivery Rate: Percentage of orders delivered on or before the scheduled delivery date.</w:t>
      </w:r>
    </w:p>
    <w:p>
      <w:pPr>
        <w:pStyle w:val="ListBullet"/>
        <w:spacing w:before="120" w:after="120"/>
      </w:pPr>
      <w:r>
        <w:t>In-Full Delivery Rate: Percentage of orders delivered with the complete ordered quantity and no discrepancies.</w:t>
      </w:r>
    </w:p>
    <w:p>
      <w:pPr>
        <w:pStyle w:val="ListBullet"/>
        <w:spacing w:before="120" w:after="120"/>
      </w:pPr>
      <w:r>
        <w:t>OTIF Rate:  Combination of On-Time and In-Full Delivery rates, offering a holistic view of delivery performance. This is typically calculated as (On-Time Deliveries * In-Full Deliveries) / Total Deliveries.</w:t>
      </w:r>
    </w:p>
    <w:p>
      <w:pPr>
        <w:pStyle w:val="ListBullet"/>
        <w:spacing w:before="120" w:after="120"/>
      </w:pPr>
      <w:r>
        <w:t>Average Delivery Time: Average time taken to deliver orders from order placement to delivery completion.</w:t>
      </w:r>
    </w:p>
    <w:p>
      <w:pPr>
        <w:pStyle w:val="ListBullet"/>
        <w:spacing w:before="120" w:after="120"/>
      </w:pPr>
      <w:r>
        <w:t>Late Delivery Frequency:  Number of late deliveries per period (e.g., monthly, quarterly).</w:t>
      </w:r>
    </w:p>
    <w:p>
      <w:pPr>
        <w:pStyle w:val="ListBullet"/>
        <w:spacing w:before="120" w:after="120"/>
      </w:pPr>
      <w:r>
        <w:t>Order Discrepancy Rate: The frequency of orders with missing or incorrect items.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3. Data Collection Methods: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Data collection relies on the accurate recording of delivery schedules (as described in the previous section) and incorporates updates reflecting the actual delivery status:</w:t>
      </w:r>
    </w:p>
    <w:p>
      <w:pPr>
        <w:pStyle w:val="ListBullet"/>
        <w:spacing w:before="120" w:after="120"/>
      </w:pPr>
      <w:r>
        <w:t>Automated Data Capture: Ideally, data should be automatically captured from the ERP or CRM system.</w:t>
      </w:r>
    </w:p>
    <w:p>
      <w:pPr>
        <w:pStyle w:val="ListBullet"/>
        <w:spacing w:before="120" w:after="120"/>
      </w:pPr>
      <w:r>
        <w:t>Manual Data Entry: If manual entry is required, rigorous quality control is essential to minimize errors.  Cross-checking with shipping manifests and customer confirmations is crucial.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4. Monitoring and Reporting:</w:t>
      </w:r>
    </w:p>
    <w:p>
      <w:pPr>
        <w:pStyle w:val="ListBullet"/>
        <w:spacing w:before="120" w:after="120"/>
      </w:pPr>
      <w:r>
        <w:t>Regular Reporting: KPIs should be tracked and reported at regular intervals (e.g., weekly, monthly).  Management reports should highlight trends and identify areas for improvement.</w:t>
      </w:r>
    </w:p>
    <w:p>
      <w:pPr>
        <w:pStyle w:val="ListBullet"/>
        <w:spacing w:before="120" w:after="120"/>
      </w:pPr>
      <w:r>
        <w:t>Data Visualization: Use charts and graphs to visually represent KPIs and facilitate identification of trends.</w:t>
      </w:r>
    </w:p>
    <w:p>
      <w:pPr>
        <w:pStyle w:val="ListBullet"/>
        <w:spacing w:before="120" w:after="120"/>
      </w:pPr>
      <w:r>
        <w:t>Performance Benchmarking: Compare performance against previous periods and industry benchmarks.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5.  Analysis and Improvement: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Regular review of OTIF data allows for identification of bottlenecks and areas for improvement.  Root cause analysis should be performed for consistent late or incomplete deliveries.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6. Compliance Notes:</w:t>
      </w:r>
    </w:p>
    <w:p>
      <w:pPr>
        <w:pStyle w:val="ListBullet"/>
        <w:spacing w:before="120" w:after="120"/>
      </w:pPr>
      <w:r>
        <w:t>Data accuracy is critical for reliable analysis and reporting.</w:t>
      </w:r>
    </w:p>
    <w:p>
      <w:pPr>
        <w:pStyle w:val="ListBullet"/>
        <w:spacing w:before="120" w:after="120"/>
      </w:pPr>
      <w:r>
        <w:t>Maintain clear audit trails of data collection and analysis.</w:t>
      </w:r>
    </w:p>
    <w:p>
      <w:pPr>
        <w:pStyle w:val="ListBullet"/>
        <w:spacing w:before="120" w:after="120"/>
      </w:pPr>
      <w:r>
        <w:t>Reports must be readily available to relevant stakeholders.</w:t>
      </w:r>
    </w:p>
    <w:p>
      <w:pPr>
        <w:spacing w:before="120" w:after="120"/>
        <w:jc w:val="left"/>
      </w:pPr>
      <w:r>
        <w:rPr>
          <w:rFonts w:ascii="Calibri" w:hAnsi="Calibri"/>
          <w:b/>
          <w:sz w:val="28"/>
        </w:rPr>
        <w:t>7. Practical Guidelines:</w:t>
      </w:r>
    </w:p>
    <w:p>
      <w:pPr>
        <w:pStyle w:val="ListBullet"/>
        <w:spacing w:before="120" w:after="120"/>
      </w:pPr>
      <w:r>
        <w:t>Utilize data visualization tools (e.g., dashboards) to present key data clearly.</w:t>
      </w:r>
    </w:p>
    <w:p>
      <w:pPr>
        <w:pStyle w:val="ListBullet"/>
        <w:spacing w:before="120" w:after="120"/>
      </w:pPr>
      <w:r>
        <w:t>Set clear targets for OTIF performance and regularly review progress.</w:t>
      </w:r>
    </w:p>
    <w:p>
      <w:pPr>
        <w:pStyle w:val="ListBullet"/>
        <w:spacing w:before="120" w:after="120"/>
      </w:pPr>
      <w:r>
        <w:t>Implement corrective actions based on data analysis.</w:t>
      </w:r>
    </w:p>
    <w:p>
      <w:pPr>
        <w:pStyle w:val="ListBullet"/>
        <w:spacing w:before="120" w:after="120"/>
      </w:pPr>
      <w:r>
        <w:t>Invest in training for staff responsible for data collection and reporting.</w:t>
      </w:r>
    </w:p>
    <w:p>
      <w:pPr>
        <w:spacing w:before="120" w:after="120"/>
        <w:jc w:val="left"/>
      </w:pPr>
      <w:r>
        <w:rPr>
          <w:rFonts w:ascii="Calibri" w:hAnsi="Calibri"/>
          <w:sz w:val="22"/>
        </w:rP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