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Example Workflow for Implementing Quality Management Systems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This section provides an example workflow for implementing a Quality Management System (QMS) in a food manufacturing facility (NIC Code 10101).  This is a simplified example and may need adjustments based on the specific needs of the organization.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Phase 1: Planning and Assessment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Define Scope: Identify the scope of the QMS, specifying which processes and departments will be included.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Gap Analysis: Conduct a gap analysis to identify any gaps between the current practices and the requirements of a chosen QMS standard (e.g., ISO 9001, HACCP).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Resource Allocation: Determine the resources required for implementing the QMS (personnel, budget, time).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Team Formation: Establish a cross-functional team to lead the implementation.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5. Training: Provide training to relevant personnel on the QMS principles and procedures.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Phase 2: Implementation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Develop Documentation: Develop all necessary documentation, including policies, procedures, work instructions, and forms.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Process Mapping: Map out all key processes to identify potential areas for improvement.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Implementation Plan: Create a detailed implementation plan with timelines and responsibilities.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System Testing: Test the QMS to ensure that it functions correctly and meets requirements.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5. Internal Audit: Conduct an internal audit to verify compliance with the QMS.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Phase 3: Verification and Validation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Management Review:  Conduct a management review to assess the effectiveness of the QMS.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Corrective Actions: Implement any necessary corrective actions to address any identified deficiencies.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Documentation Update: Update documentation as needed based on the management review and corrective actions.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External Audit (if applicable):  Undergo an external audit by a certified auditor to verify compliance with the chosen standard (e.g., ISO 9001).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Phase 4: Continuous Improvement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Monitoring and Measurement: Regularly monitor and measure the effectiveness of the QMS.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Data Analysis: Analyze data to identify trends and opportunities for improvement.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Corrective and Preventive Actions: Implement corrective and preventive actions to address any identified deficiencies.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Management Review: Conduct regular management reviews to assess the effectiveness of the QMS and the continuous improvement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