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Proper Disposal of Paints and Thinners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procedures for the proper disposal of paints and thinners in a food manufacturing facility (NIC Code: 10101).  Improper disposal of these materials can pose significant environmental and health risks.  This procedure emphasizes safe handling, collection, and disposal in compliance with relevant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 Waste Segregation and Collection:</w:t>
      </w:r>
    </w:p>
    <w:p>
      <w:pPr>
        <w:pStyle w:val="ListBullet"/>
        <w:spacing w:before="120" w:after="120"/>
      </w:pPr>
      <w:r>
        <w:t>Designated Containers:  Paints and thinners must be stored and disposed of in clearly labeled, leak-proof containers specifically designated for hazardous waste.</w:t>
      </w:r>
    </w:p>
    <w:p>
      <w:pPr>
        <w:pStyle w:val="ListBullet"/>
        <w:spacing w:before="120" w:after="120"/>
      </w:pPr>
      <w:r>
        <w:t>Separate Storage:  Never mix different types of paints or thinners.  Keep them separated to prevent chemical reactions.</w:t>
      </w:r>
    </w:p>
    <w:p>
      <w:pPr>
        <w:pStyle w:val="ListBullet"/>
        <w:spacing w:before="120" w:after="120"/>
      </w:pPr>
      <w:r>
        <w:t>Proper Labeling:  All containers must be clearly labeled with the contents and hazard warnings.</w:t>
      </w:r>
    </w:p>
    <w:p>
      <w:pPr>
        <w:pStyle w:val="ListBullet"/>
        <w:spacing w:before="120" w:after="120"/>
      </w:pPr>
      <w:r>
        <w:t>Regular Monitoring:  Regularly monitor the fill level of the containers to ensure they are not overflowing.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 Disposal Methods:</w:t>
      </w:r>
    </w:p>
    <w:p>
      <w:pPr>
        <w:pStyle w:val="ListBullet"/>
        <w:spacing w:before="120" w:after="120"/>
      </w:pPr>
      <w:r>
        <w:t>Waste Contractor:  Engage a licensed hazardous waste contractor for the disposal of paints and thinners.  This ensures compliance with all environmental regulations.</w:t>
      </w:r>
    </w:p>
    <w:p>
      <w:pPr>
        <w:pStyle w:val="ListBullet"/>
        <w:spacing w:before="120" w:after="120"/>
      </w:pPr>
      <w:r>
        <w:t>Waste Manifest:  Maintain accurate records of the waste generated and its disposal, including the waste manifest provided by the contractor.</w:t>
      </w:r>
    </w:p>
    <w:p>
      <w:pPr>
        <w:pStyle w:val="ListBullet"/>
        <w:spacing w:before="120" w:after="120"/>
      </w:pPr>
      <w:r>
        <w:t>Recycling:  Explore options for recycling or reclaiming usable paint and thinner materials where possible.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Compliance Notes:</w:t>
      </w:r>
    </w:p>
    <w:p>
      <w:pPr>
        <w:pStyle w:val="ListBullet"/>
        <w:spacing w:before="120" w:after="120"/>
      </w:pPr>
      <w:r>
        <w:t>Environmental Regulations:  Compliance with all federal, state, and local environmental regulations pertaining to hazardous waste disposal is mandatory.  Failure to comply can result in significant fines and penalties.</w:t>
      </w:r>
    </w:p>
    <w:p>
      <w:pPr>
        <w:pStyle w:val="ListBullet"/>
        <w:spacing w:before="120" w:after="120"/>
      </w:pPr>
      <w:r>
        <w:t>SDS Compliance:  Ensure all paints and thinners are handled according to their respective SDSs.  The SDS provides crucial information on safe handling, storage, and disposal procedures.</w:t>
      </w:r>
    </w:p>
    <w:p>
      <w:pPr>
        <w:pStyle w:val="ListBullet"/>
        <w:spacing w:before="120" w:after="120"/>
      </w:pPr>
      <w:r>
        <w:t>Record Keeping:  Meticulous record-keeping is essential to demonstrate compliance with regulations.  Maintain records of waste generation, disposal, and contractor information.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Practical Guidelines:</w:t>
      </w:r>
    </w:p>
    <w:p>
      <w:pPr>
        <w:pStyle w:val="ListBullet"/>
        <w:spacing w:before="120" w:after="120"/>
      </w:pPr>
      <w:r>
        <w:t>Minimizing Waste:  Implement strategies to minimize the use of paints and thinners, such as proper equipment maintenance and efficient application techniques.</w:t>
      </w:r>
    </w:p>
    <w:p>
      <w:pPr>
        <w:pStyle w:val="ListBullet"/>
        <w:spacing w:before="120" w:after="120"/>
      </w:pPr>
      <w:r>
        <w:t>Training:  Provide regular training to employees on the proper handling, storage, and disposal of paints and thinners.</w:t>
      </w:r>
    </w:p>
    <w:p>
      <w:pPr>
        <w:pStyle w:val="ListBullet"/>
        <w:spacing w:before="120" w:after="120"/>
      </w:pPr>
      <w:r>
        <w:t>Regular Audits:  Conduct periodic audits to ensure compliance with this procedure and identify any potential areas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Appendix:</w:t>
      </w:r>
    </w:p>
    <w:p>
      <w:pPr>
        <w:pStyle w:val="ListBullet"/>
        <w:spacing w:before="120" w:after="120"/>
      </w:pPr>
      <w:r>
        <w:t>List of Licensed Hazardous Waste Contractors</w:t>
      </w:r>
    </w:p>
    <w:p>
      <w:pPr>
        <w:pStyle w:val="ListBullet"/>
        <w:spacing w:before="120" w:after="120"/>
      </w:pPr>
      <w:r>
        <w:t>Sample Waste Manifest</w:t>
      </w:r>
    </w:p>
    <w:p>
      <w:pPr>
        <w:pStyle w:val="ListBullet"/>
        <w:spacing w:before="120" w:after="120"/>
      </w:pPr>
      <w:r>
        <w:t>Contact information for relevant environmental agencies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