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Identifying Environmental Aspects &amp; Impacts</w:t>
      </w:r>
    </w:p>
    <w:p>
      <w:pPr>
        <w:spacing w:before="120" w:after="120"/>
        <w:jc w:val="left"/>
      </w:pPr>
      <w:r>
        <w:rPr>
          <w:rFonts w:ascii="Calibri" w:hAnsi="Calibri"/>
          <w:b/>
          <w:sz w:val="28"/>
        </w:rPr>
        <w:t>1. Introduction:</w:t>
      </w:r>
    </w:p>
    <w:p>
      <w:pPr>
        <w:spacing w:before="120" w:after="120"/>
        <w:jc w:val="left"/>
      </w:pPr>
      <w:r>
        <w:rPr>
          <w:rFonts w:ascii="Calibri" w:hAnsi="Calibri"/>
          <w:sz w:val="22"/>
        </w:rPr>
        <w:t>This document outlines the procedure for identifying environmental aspects and impacts associated with the food manufacturing operations (NIC Code: 10101).  This process is critical for developing an effective Environmental Management System (EMS) and ensuring compliance with environmental regulations.</w:t>
      </w:r>
    </w:p>
    <w:p>
      <w:pPr>
        <w:spacing w:before="120" w:after="120"/>
        <w:jc w:val="left"/>
      </w:pPr>
      <w:r>
        <w:rPr>
          <w:rFonts w:ascii="Calibri" w:hAnsi="Calibri"/>
          <w:b/>
          <w:sz w:val="28"/>
        </w:rPr>
        <w:t>2. Identifying Environmental Aspects:</w:t>
      </w:r>
    </w:p>
    <w:p>
      <w:pPr>
        <w:pStyle w:val="ListBullet"/>
        <w:spacing w:before="120" w:after="120"/>
      </w:pPr>
      <w:r>
        <w:t>Operational Activities:  Begin by systematically reviewing all operational activities, including raw material acquisition, manufacturing processes, packaging, distribution, and waste disposal.</w:t>
      </w:r>
    </w:p>
    <w:p>
      <w:pPr>
        <w:pStyle w:val="ListBullet"/>
        <w:spacing w:before="120" w:after="120"/>
      </w:pPr>
      <w:r>
        <w:t>Material Usage:  Identify all materials used in the process, including their sources, quantities, and potential environmental impacts (e.g., water, energy, packaging materials, chemicals).</w:t>
      </w:r>
    </w:p>
    <w:p>
      <w:pPr>
        <w:pStyle w:val="ListBullet"/>
        <w:spacing w:before="120" w:after="120"/>
      </w:pPr>
      <w:r>
        <w:t>Waste Generation:  Identify all types of waste generated, including solid waste, wastewater, and air emissions.  Quantify waste generation where possible.</w:t>
      </w:r>
    </w:p>
    <w:p>
      <w:pPr>
        <w:pStyle w:val="ListBullet"/>
        <w:spacing w:before="120" w:after="120"/>
      </w:pPr>
      <w:r>
        <w:t>Energy Consumption:  Assess energy consumption throughout the production process.  Identify major energy consumers and opportunities for energy efficiency improvements.</w:t>
      </w:r>
    </w:p>
    <w:p>
      <w:pPr>
        <w:pStyle w:val="ListBullet"/>
        <w:spacing w:before="120" w:after="120"/>
      </w:pPr>
      <w:r>
        <w:t>Water Usage:  Analyze water usage patterns and identify opportunities for water conservation.</w:t>
      </w:r>
    </w:p>
    <w:p>
      <w:pPr>
        <w:spacing w:before="120" w:after="120"/>
        <w:jc w:val="left"/>
      </w:pPr>
      <w:r>
        <w:rPr>
          <w:rFonts w:ascii="Calibri" w:hAnsi="Calibri"/>
          <w:b/>
          <w:sz w:val="28"/>
        </w:rPr>
        <w:t>3. Assessing Environmental Impacts:</w:t>
      </w:r>
    </w:p>
    <w:p>
      <w:pPr>
        <w:pStyle w:val="ListBullet"/>
        <w:spacing w:before="120" w:after="120"/>
      </w:pPr>
      <w:r>
        <w:t>Significance Criteria:  Develop criteria for determining the significance of environmental impacts.  Consider factors such as magnitude, likelihood, and potential regulatory consequences.</w:t>
      </w:r>
    </w:p>
    <w:p>
      <w:pPr>
        <w:pStyle w:val="ListBullet"/>
        <w:spacing w:before="120" w:after="120"/>
      </w:pPr>
      <w:r>
        <w:t>Impact Assessment:  For each identified environmental aspect, assess its potential environmental impacts using available data, expert judgment, and environmental impact assessment methodologies.</w:t>
      </w:r>
    </w:p>
    <w:p>
      <w:pPr>
        <w:pStyle w:val="ListBullet"/>
        <w:spacing w:before="120" w:after="120"/>
      </w:pPr>
      <w:r>
        <w:t>Prioritization:  Prioritize environmental aspects and impacts based on their significance.  Focus resources on addressing the most significant impacts.</w:t>
      </w:r>
    </w:p>
    <w:p>
      <w:pPr>
        <w:spacing w:before="120" w:after="120"/>
        <w:jc w:val="left"/>
      </w:pPr>
      <w:r>
        <w:rPr>
          <w:rFonts w:ascii="Calibri" w:hAnsi="Calibri"/>
          <w:b/>
          <w:sz w:val="28"/>
        </w:rPr>
        <w:t>4. Documentation:</w:t>
      </w:r>
    </w:p>
    <w:p>
      <w:pPr>
        <w:pStyle w:val="ListBullet"/>
        <w:spacing w:before="120" w:after="120"/>
      </w:pPr>
      <w:r>
        <w:t>Environmental Register:  Maintain an environmental register documenting all identified environmental aspects, impacts, and their significance.</w:t>
      </w:r>
    </w:p>
    <w:p>
      <w:pPr>
        <w:pStyle w:val="ListBullet"/>
        <w:spacing w:before="120" w:after="120"/>
      </w:pPr>
      <w:r>
        <w:t>Supporting Data:  Gather supporting data to substantiate the assessments of environmental aspects and impacts.</w:t>
      </w:r>
    </w:p>
    <w:p>
      <w:pPr>
        <w:pStyle w:val="ListBullet"/>
        <w:spacing w:before="120" w:after="120"/>
      </w:pPr>
      <w:r>
        <w:t>Regular Review:  Review and update the environmental register regularly to reflect changes in operations and environmental regulations.</w:t>
      </w:r>
    </w:p>
    <w:p>
      <w:pPr>
        <w:spacing w:before="120" w:after="120"/>
        <w:jc w:val="left"/>
      </w:pPr>
      <w:r>
        <w:rPr>
          <w:rFonts w:ascii="Calibri" w:hAnsi="Calibri"/>
          <w:b/>
          <w:sz w:val="28"/>
        </w:rPr>
        <w:t>5. Compliance Notes:</w:t>
      </w:r>
    </w:p>
    <w:p>
      <w:pPr>
        <w:pStyle w:val="ListBullet"/>
        <w:spacing w:before="120" w:after="120"/>
      </w:pPr>
      <w:r>
        <w:t>Legal and Regulatory Compliance:  The identification of environmental aspects and impacts must comply with all applicable environmental regulations and permits.</w:t>
      </w:r>
    </w:p>
    <w:p>
      <w:pPr>
        <w:pStyle w:val="ListBullet"/>
        <w:spacing w:before="120" w:after="120"/>
      </w:pPr>
      <w:r>
        <w:t>Continuous Improvement:  The process of identifying environmental aspects and impacts should be an ongoing process, supporting continuous improvement of the EMS.</w:t>
      </w:r>
    </w:p>
    <w:p>
      <w:pPr>
        <w:spacing w:before="120" w:after="120"/>
        <w:jc w:val="left"/>
      </w:pPr>
      <w:r>
        <w:rPr>
          <w:rFonts w:ascii="Calibri" w:hAnsi="Calibri"/>
          <w:b/>
          <w:sz w:val="28"/>
        </w:rPr>
        <w:t>6. Practical Guidelines:</w:t>
      </w:r>
    </w:p>
    <w:p>
      <w:pPr>
        <w:pStyle w:val="ListBullet"/>
        <w:spacing w:before="120" w:after="120"/>
      </w:pPr>
      <w:r>
        <w:t>Employee Involvement:  Involve employees at all levels in the identification and assessment of environmental aspects and impacts.</w:t>
      </w:r>
    </w:p>
    <w:p>
      <w:pPr>
        <w:pStyle w:val="ListBullet"/>
        <w:spacing w:before="120" w:after="120"/>
      </w:pPr>
      <w:r>
        <w:t>Stakeholder Engagement:  Consult with relevant stakeholders, such as local communities and regulatory agencies.</w:t>
      </w:r>
    </w:p>
    <w:p>
      <w:pPr>
        <w:pStyle w:val="ListBullet"/>
        <w:spacing w:before="120" w:after="120"/>
      </w:pPr>
      <w:r>
        <w:t>Life Cycle Assessment:  Consider conducting a life cycle assessment (LCA) to assess the environmental impacts of products throughout their entire lifecycle.</w:t>
      </w:r>
    </w:p>
    <w:p>
      <w:pPr>
        <w:spacing w:before="120" w:after="120"/>
        <w:jc w:val="left"/>
      </w:pPr>
      <w:r>
        <w:rPr>
          <w:rFonts w:ascii="Calibri" w:hAnsi="Calibri"/>
          <w:sz w:val="22"/>
        </w:rPr>
        <w:t>This documentation provides a comprehensive framework for managing environmental aspects within a food manufacturing facility.  Remember to adapt these guidelines to your specific operations and regulatory requirements.  Regular review and updates are essential to ensure the continued effectiveness of your environmental management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