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Infrastructure for Pollution Control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details the infrastructure necessary for effective pollution control in food manufacturing units (NIC Code 10101).  Minimizing environmental impact is crucial for sustainable operations and regulatory compliance.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Wastewater Treatment</w:t>
      </w:r>
    </w:p>
    <w:p>
      <w:pPr>
        <w:pStyle w:val="ListBullet"/>
        <w:spacing w:before="120" w:after="120"/>
      </w:pPr>
      <w:r>
        <w:t>Pre-treatment: Implement pre-treatment measures such as screening, grease traps, and equalization tanks to remove large solids and adjust the wastewater characteristics before primary treatment.</w:t>
      </w:r>
    </w:p>
    <w:p>
      <w:pPr>
        <w:pStyle w:val="ListBullet"/>
        <w:spacing w:before="120" w:after="120"/>
      </w:pPr>
      <w:r>
        <w:t>Primary Treatment:  Utilize primary treatment methods such as sedimentation tanks to remove suspended solids.</w:t>
      </w:r>
    </w:p>
    <w:p>
      <w:pPr>
        <w:pStyle w:val="ListBullet"/>
        <w:spacing w:before="120" w:after="120"/>
      </w:pPr>
      <w:r>
        <w:t>Secondary Treatment: Employ secondary treatment processes, including activated sludge or anaerobic digestion, to biologically treat organic matter and reduce BOD (Biochemical Oxygen Demand) and COD (Chemical Oxygen Demand).</w:t>
      </w:r>
    </w:p>
    <w:p>
      <w:pPr>
        <w:pStyle w:val="ListBullet"/>
        <w:spacing w:before="120" w:after="120"/>
      </w:pPr>
      <w:r>
        <w:t>Tertiary Treatment: If required by local regulations, implement tertiary treatment to further reduce pollutants and meet stringent discharge standards. This may include filtration, disinfection, or nutrient removal processes.</w:t>
      </w:r>
    </w:p>
    <w:p>
      <w:pPr>
        <w:pStyle w:val="ListBullet"/>
        <w:spacing w:before="120" w:after="120"/>
      </w:pPr>
      <w:r>
        <w:t>Effluent Discharge: Ensure all effluent discharge complies with the standards set by the Central Pollution Control Board (CPCB) and state pollution control boards. Obtain necessary permits for effluent discharge.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Air Pollution Control</w:t>
      </w:r>
    </w:p>
    <w:p>
      <w:pPr>
        <w:pStyle w:val="ListBullet"/>
        <w:spacing w:before="120" w:after="120"/>
      </w:pPr>
      <w:r>
        <w:t>Ventilation Systems: Install efficient ventilation systems to control airborne particulate matter, odors, and fumes generated during processing.</w:t>
      </w:r>
    </w:p>
    <w:p>
      <w:pPr>
        <w:pStyle w:val="ListBullet"/>
        <w:spacing w:before="120" w:after="120"/>
      </w:pPr>
      <w:r>
        <w:t>Emission Control Equipment: If necessary, implement emission control technologies such as scrubbers, filters, or thermal oxidizers to reduce air pollutants before release into the atmosphere.</w:t>
      </w:r>
    </w:p>
    <w:p>
      <w:pPr>
        <w:pStyle w:val="ListBullet"/>
        <w:spacing w:before="120" w:after="120"/>
      </w:pPr>
      <w:r>
        <w:t>Regular Maintenance:  Regular maintenance of ventilation systems and emission control equipment is crucial for optimal performance and compliance with emission standards.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Solid Waste Management</w:t>
      </w:r>
    </w:p>
    <w:p>
      <w:pPr>
        <w:pStyle w:val="ListBullet"/>
        <w:spacing w:before="120" w:after="120"/>
      </w:pPr>
      <w:r>
        <w:t>Waste Segregation: Implement a robust waste segregation system at source, separating different types of waste (organic, recyclable, hazardous).</w:t>
      </w:r>
    </w:p>
    <w:p>
      <w:pPr>
        <w:pStyle w:val="ListBullet"/>
        <w:spacing w:before="120" w:after="120"/>
      </w:pPr>
      <w:r>
        <w:t>Waste Treatment &amp; Disposal:  Treat organic waste through composting or anaerobic digestion.  Recycle recyclable waste materials. Dispose of hazardous waste according to local regulations and using licensed waste disposal facilities.</w:t>
      </w:r>
    </w:p>
    <w:p>
      <w:pPr>
        <w:pStyle w:val="ListBullet"/>
        <w:spacing w:before="120" w:after="120"/>
      </w:pPr>
      <w:r>
        <w:t>Record Keeping: Maintain detailed records of all waste generated, treated, and disposed of.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Infrastructure Components</w:t>
      </w:r>
    </w:p>
    <w:p>
      <w:pPr>
        <w:pStyle w:val="ListBullet"/>
        <w:spacing w:before="120" w:after="120"/>
      </w:pPr>
      <w:r>
        <w:t>Wastewater Treatment Plant (WWTP): A properly designed and sized WWTP is crucial.</w:t>
      </w:r>
    </w:p>
    <w:p>
      <w:pPr>
        <w:pStyle w:val="ListBullet"/>
        <w:spacing w:before="120" w:after="120"/>
      </w:pPr>
      <w:r>
        <w:t>Air Pollution Control Equipment:  This equipment selection depends on the specific pollutants generated.</w:t>
      </w:r>
    </w:p>
    <w:p>
      <w:pPr>
        <w:pStyle w:val="ListBullet"/>
        <w:spacing w:before="120" w:after="120"/>
      </w:pPr>
      <w:r>
        <w:t>Solid Waste Storage and Handling Facilities: Secure storage areas for different waste streams are required.</w:t>
      </w:r>
    </w:p>
    <w:p>
      <w:pPr>
        <w:pStyle w:val="ListBullet"/>
        <w:spacing w:before="120" w:after="120"/>
      </w:pPr>
      <w:r>
        <w:t>Monitoring Equipment:  Install monitoring equipment to measure parameters like BOD, COD, pH, and emissions to ensure compliance with standards.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6. Compliance and Permits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Obtain necessary permits and approvals from the Pollution Control Board for wastewater discharge and air emissions.  Regular monitoring and reporting are mandatory.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