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Cost of Poor Quality (COPQ)</w:t>
      </w:r>
    </w:p>
    <w:p>
      <w:pPr>
        <w:spacing w:before="120" w:after="120"/>
        <w:jc w:val="left"/>
      </w:pPr>
      <w:r>
        <w:rPr>
          <w:rFonts w:ascii="Calibri" w:hAnsi="Calibri"/>
          <w:b/>
          <w:sz w:val="28"/>
        </w:rPr>
        <w:t>1. Introduction</w:t>
      </w:r>
    </w:p>
    <w:p>
      <w:pPr>
        <w:spacing w:before="120" w:after="120"/>
        <w:jc w:val="left"/>
      </w:pPr>
      <w:r>
        <w:rPr>
          <w:rFonts w:ascii="Calibri" w:hAnsi="Calibri"/>
          <w:sz w:val="22"/>
        </w:rPr>
        <w:t>The Cost of Poor Quality (COPQ) represents the financial burden associated with defects, errors, and inefficiencies throughout the food manufacturing process (NIC Code 10101).  Understanding and minimizing COPQ is crucial for profitability and maintaining a competitive edge. This document outlines a methodology for identifying, measuring, and reducing COPQ within a food manufacturing environment.  Failure to effectively manage COPQ can lead to significant financial losses, reputational damage, and regulatory non-compliance.</w:t>
      </w:r>
    </w:p>
    <w:p>
      <w:pPr>
        <w:spacing w:before="120" w:after="120"/>
        <w:jc w:val="left"/>
      </w:pPr>
      <w:r>
        <w:rPr>
          <w:rFonts w:ascii="Calibri" w:hAnsi="Calibri"/>
          <w:b/>
          <w:sz w:val="28"/>
        </w:rPr>
        <w:t>2. Identifying COPQ Categories</w:t>
      </w:r>
    </w:p>
    <w:p>
      <w:pPr>
        <w:spacing w:before="120" w:after="120"/>
        <w:jc w:val="left"/>
      </w:pPr>
      <w:r>
        <w:rPr>
          <w:rFonts w:ascii="Calibri" w:hAnsi="Calibri"/>
          <w:sz w:val="22"/>
        </w:rPr>
        <w:t>COPQ encompasses a broad range of costs.  Within a food manufacturing context, these can be broadly categorized as:</w:t>
      </w:r>
    </w:p>
    <w:p>
      <w:pPr>
        <w:pStyle w:val="ListBullet"/>
        <w:spacing w:before="120" w:after="120"/>
      </w:pPr>
      <w:r>
        <w:t>Internal Failure Costs: These costs arise from defects discovered *before* the product reaches the customer.  Examples include:</w:t>
      </w:r>
    </w:p>
    <w:p>
      <w:pPr>
        <w:pStyle w:val="ListBullet"/>
        <w:spacing w:before="120" w:after="120"/>
      </w:pPr>
      <w:r>
        <w:t>Scrap:  Discarding spoiled or defective raw materials or finished products.</w:t>
      </w:r>
    </w:p>
    <w:p>
      <w:pPr>
        <w:pStyle w:val="ListBullet"/>
        <w:spacing w:before="120" w:after="120"/>
      </w:pPr>
      <w:r>
        <w:t>Rework:  The cost of correcting defects before release.</w:t>
      </w:r>
    </w:p>
    <w:p>
      <w:pPr>
        <w:pStyle w:val="ListBullet"/>
        <w:spacing w:before="120" w:after="120"/>
      </w:pPr>
      <w:r>
        <w:t>Downtime:  Production losses due to equipment malfunctions or process failures.</w:t>
      </w:r>
    </w:p>
    <w:p>
      <w:pPr>
        <w:pStyle w:val="ListBullet"/>
        <w:spacing w:before="120" w:after="120"/>
      </w:pPr>
      <w:r>
        <w:t>Internal inspection and testing: Costs associated with quality control checks within the manufacturing process.</w:t>
      </w:r>
    </w:p>
    <w:p>
      <w:pPr>
        <w:pStyle w:val="ListBullet"/>
        <w:spacing w:before="120" w:after="120"/>
      </w:pPr>
      <w:r>
        <w:t>External Failure Costs: These costs arise from defects discovered *after* the product reaches the customer. Examples include:</w:t>
      </w:r>
    </w:p>
    <w:p>
      <w:pPr>
        <w:pStyle w:val="ListBullet"/>
        <w:spacing w:before="120" w:after="120"/>
      </w:pPr>
      <w:r>
        <w:t>Warranty claims:  Costs associated with replacing or repairing defective products.</w:t>
      </w:r>
    </w:p>
    <w:p>
      <w:pPr>
        <w:pStyle w:val="ListBullet"/>
        <w:spacing w:before="120" w:after="120"/>
      </w:pPr>
      <w:r>
        <w:t>Customer returns: Costs associated with handling returned products.</w:t>
      </w:r>
    </w:p>
    <w:p>
      <w:pPr>
        <w:pStyle w:val="ListBullet"/>
        <w:spacing w:before="120" w:after="120"/>
      </w:pPr>
      <w:r>
        <w:t>Product recalls:  The significant costs associated with recalling and replacing contaminated or defective products. This includes legal fees, labor, and lost revenue.</w:t>
      </w:r>
    </w:p>
    <w:p>
      <w:pPr>
        <w:pStyle w:val="ListBullet"/>
        <w:spacing w:before="120" w:after="120"/>
      </w:pPr>
      <w:r>
        <w:t>Loss of reputation and goodwill:  Difficult to quantify, but potentially devastating to long-term profitability.</w:t>
      </w:r>
    </w:p>
    <w:p>
      <w:pPr>
        <w:pStyle w:val="ListBullet"/>
        <w:spacing w:before="120" w:after="120"/>
      </w:pPr>
      <w:r>
        <w:t>Legal and regulatory fines: Penalties for non-compliance with food safety regulations.</w:t>
      </w:r>
    </w:p>
    <w:p>
      <w:pPr>
        <w:pStyle w:val="ListBullet"/>
        <w:spacing w:before="120" w:after="120"/>
      </w:pPr>
      <w:r>
        <w:t>Appraisal Costs: These are costs incurred to prevent defects.  Examples include:</w:t>
      </w:r>
    </w:p>
    <w:p>
      <w:pPr>
        <w:pStyle w:val="ListBullet"/>
        <w:spacing w:before="120" w:after="120"/>
      </w:pPr>
      <w:r>
        <w:t>Quality planning: Costs associated with developing and implementing quality systems.</w:t>
      </w:r>
    </w:p>
    <w:p>
      <w:pPr>
        <w:pStyle w:val="ListBullet"/>
        <w:spacing w:before="120" w:after="120"/>
      </w:pPr>
      <w:r>
        <w:t>Inspection and testing: Costs associated with verifying the quality of raw materials, in-process products, and finished goods.</w:t>
      </w:r>
    </w:p>
    <w:p>
      <w:pPr>
        <w:pStyle w:val="ListBullet"/>
        <w:spacing w:before="120" w:after="120"/>
      </w:pPr>
      <w:r>
        <w:t>Audits:  Internal and external audits to ensure compliance with standards.</w:t>
      </w:r>
    </w:p>
    <w:p>
      <w:pPr>
        <w:pStyle w:val="ListBullet"/>
        <w:spacing w:before="120" w:after="120"/>
      </w:pPr>
      <w:r>
        <w:t>Prevention Costs:  These are proactive costs designed to prevent defects from occurring in the first place. Examples include:</w:t>
      </w:r>
    </w:p>
    <w:p>
      <w:pPr>
        <w:pStyle w:val="ListBullet"/>
        <w:spacing w:before="120" w:after="120"/>
      </w:pPr>
      <w:r>
        <w:t>Employee training: Training employees on proper manufacturing procedures and quality control techniques.</w:t>
      </w:r>
    </w:p>
    <w:p>
      <w:pPr>
        <w:pStyle w:val="ListBullet"/>
        <w:spacing w:before="120" w:after="120"/>
      </w:pPr>
      <w:r>
        <w:t>Process improvement initiatives: Implementing lean manufacturing principles and Six Sigma methodologies to streamline processes and reduce waste.</w:t>
      </w:r>
    </w:p>
    <w:p>
      <w:pPr>
        <w:pStyle w:val="ListBullet"/>
        <w:spacing w:before="120" w:after="120"/>
      </w:pPr>
      <w:r>
        <w:t>Quality control equipment: Investment in advanced equipment to enhance quality control capabilities.</w:t>
      </w:r>
    </w:p>
    <w:p>
      <w:pPr>
        <w:spacing w:before="120" w:after="120"/>
        <w:jc w:val="left"/>
      </w:pPr>
      <w:r>
        <w:rPr>
          <w:rFonts w:ascii="Calibri" w:hAnsi="Calibri"/>
          <w:b/>
          <w:sz w:val="28"/>
        </w:rPr>
        <w:t>3. Measuring COPQ</w:t>
      </w:r>
    </w:p>
    <w:p>
      <w:pPr>
        <w:spacing w:before="120" w:after="120"/>
        <w:jc w:val="left"/>
      </w:pPr>
      <w:r>
        <w:rPr>
          <w:rFonts w:ascii="Calibri" w:hAnsi="Calibri"/>
          <w:sz w:val="22"/>
        </w:rPr>
        <w:t>Accurate measurement of COPQ requires a robust data collection system.  This involves tracking defects, downtime, and other relevant costs across all stages of the manufacturing process.  Methods include:</w:t>
      </w:r>
    </w:p>
    <w:p>
      <w:pPr>
        <w:pStyle w:val="ListBullet"/>
        <w:spacing w:before="120" w:after="120"/>
      </w:pPr>
      <w:r>
        <w:t>Defect tracking: Implementing a system for tracking the number and type of defects at each stage of production.</w:t>
      </w:r>
    </w:p>
    <w:p>
      <w:pPr>
        <w:pStyle w:val="ListBullet"/>
        <w:spacing w:before="120" w:after="120"/>
      </w:pPr>
      <w:r>
        <w:t>Cost accounting:  Assigning costs to specific defect categories.</w:t>
      </w:r>
    </w:p>
    <w:p>
      <w:pPr>
        <w:pStyle w:val="ListBullet"/>
        <w:spacing w:before="120" w:after="120"/>
      </w:pPr>
      <w:r>
        <w:t>Data analysis: Using statistical methods to analyze defect trends and identify root causes.</w:t>
      </w:r>
    </w:p>
    <w:p>
      <w:pPr>
        <w:spacing w:before="120" w:after="120"/>
        <w:jc w:val="left"/>
      </w:pPr>
      <w:r>
        <w:rPr>
          <w:rFonts w:ascii="Calibri" w:hAnsi="Calibri"/>
          <w:b/>
          <w:sz w:val="28"/>
        </w:rPr>
        <w:t>4. Reducing COPQ</w:t>
      </w:r>
    </w:p>
    <w:p>
      <w:pPr>
        <w:spacing w:before="120" w:after="120"/>
      </w:pPr>
      <w:r>
        <w:rPr>
          <w:rFonts w:ascii="Calibri" w:hAnsi="Calibri"/>
          <w:b/>
          <w:sz w:val="24"/>
        </w:rPr>
        <w:t>Reducing COPQ requires a proactive approach encompassing:</w:t>
      </w:r>
    </w:p>
    <w:p>
      <w:pPr>
        <w:pStyle w:val="ListBullet"/>
        <w:spacing w:before="120" w:after="120"/>
      </w:pPr>
      <w:r>
        <w:t>Root cause analysis: Utilizing techniques like fishbone diagrams and 5 Whys to identify the root causes of defects.</w:t>
      </w:r>
    </w:p>
    <w:p>
      <w:pPr>
        <w:pStyle w:val="ListBullet"/>
        <w:spacing w:before="120" w:after="120"/>
      </w:pPr>
      <w:r>
        <w:t>Process improvement: Implementing corrective actions to address the root causes of defects and improve process efficiency.</w:t>
      </w:r>
    </w:p>
    <w:p>
      <w:pPr>
        <w:pStyle w:val="ListBullet"/>
        <w:spacing w:before="120" w:after="120"/>
      </w:pPr>
      <w:r>
        <w:t>Employee empowerment: Empowering employees to identify and report quality issues.</w:t>
      </w:r>
    </w:p>
    <w:p>
      <w:pPr>
        <w:pStyle w:val="ListBullet"/>
        <w:spacing w:before="120" w:after="120"/>
      </w:pPr>
      <w:r>
        <w:t>Continuous improvement: Implementing a culture of continuous improvement through regular monitoring and review of COPQ data.</w:t>
      </w:r>
    </w:p>
    <w:p>
      <w:pPr>
        <w:spacing w:before="120" w:after="120"/>
        <w:jc w:val="left"/>
      </w:pPr>
      <w:r>
        <w:rPr>
          <w:rFonts w:ascii="Calibri" w:hAnsi="Calibri"/>
          <w:b/>
          <w:sz w:val="28"/>
        </w:rPr>
        <w:t>5. Compliance Notes</w:t>
      </w:r>
    </w:p>
    <w:p>
      <w:pPr>
        <w:spacing w:before="120" w:after="120"/>
        <w:jc w:val="left"/>
      </w:pPr>
      <w:r>
        <w:rPr>
          <w:rFonts w:ascii="Calibri" w:hAnsi="Calibri"/>
          <w:sz w:val="22"/>
        </w:rPr>
        <w:t>Accurate COPQ measurement is vital for demonstrating compliance with food safety regulations (e.g., HACCP, FDA regulations).  Thorough documentation of all quality control measures and corrective actions is crucial for audits and regulatory inspections.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