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Developing Plans to Address Risks</w:t>
      </w:r>
    </w:p>
    <w:p>
      <w:pPr>
        <w:spacing w:before="120" w:after="120"/>
        <w:jc w:val="left"/>
      </w:pPr>
      <w:r>
        <w:rPr>
          <w:rFonts w:ascii="Calibri" w:hAnsi="Calibri"/>
          <w:sz w:val="22"/>
        </w:rPr>
        <w:t>This document details the process for developing comprehensive plans to address the identified risks in food manufacturing (NIC Code 10101).  Effective risk mitigation strategies are crucial for ensuring product safety, meeting quality standards, and maintaining regulatory compliance.</w:t>
      </w:r>
    </w:p>
    <w:p>
      <w:pPr>
        <w:spacing w:before="120" w:after="120"/>
        <w:jc w:val="left"/>
      </w:pPr>
      <w:r>
        <w:rPr>
          <w:rFonts w:ascii="Calibri" w:hAnsi="Calibri"/>
          <w:b/>
          <w:sz w:val="28"/>
        </w:rPr>
        <w:t>1. Prioritizing Risks:</w:t>
      </w:r>
    </w:p>
    <w:p>
      <w:pPr>
        <w:spacing w:before="120" w:after="120"/>
        <w:jc w:val="left"/>
      </w:pPr>
      <w:r>
        <w:rPr>
          <w:rFonts w:ascii="Calibri" w:hAnsi="Calibri"/>
          <w:sz w:val="22"/>
        </w:rPr>
        <w:t>Based on the risk assessment (likelihood and impact), prioritize risks for mitigation efforts.  Focus on high-risk situations first.  Use a risk matrix to visualize and prioritize risks.</w:t>
      </w:r>
    </w:p>
    <w:p>
      <w:pPr>
        <w:spacing w:before="120" w:after="120"/>
        <w:jc w:val="left"/>
      </w:pPr>
      <w:r>
        <w:rPr>
          <w:rFonts w:ascii="Calibri" w:hAnsi="Calibri"/>
          <w:b/>
          <w:sz w:val="28"/>
        </w:rPr>
        <w:t>2. Developing Mitigation Strategies:</w:t>
      </w:r>
    </w:p>
    <w:p>
      <w:pPr>
        <w:spacing w:before="120" w:after="120"/>
        <w:jc w:val="left"/>
      </w:pPr>
      <w:r>
        <w:rPr>
          <w:rFonts w:ascii="Calibri" w:hAnsi="Calibri"/>
          <w:sz w:val="22"/>
        </w:rPr>
        <w:t>For each prioritized risk, develop a detailed mitigation plan outlining specific actions to reduce or eliminate the risk.  Common mitigation strategies include:</w:t>
      </w:r>
    </w:p>
    <w:p>
      <w:pPr>
        <w:pStyle w:val="ListBullet"/>
        <w:spacing w:before="120" w:after="120"/>
      </w:pPr>
      <w:r>
        <w:t>Elimination: Completely remove the risk. This is the most effective strategy but often not feasible.</w:t>
      </w:r>
    </w:p>
    <w:p>
      <w:pPr>
        <w:pStyle w:val="ListBullet"/>
        <w:spacing w:before="120" w:after="120"/>
      </w:pPr>
      <w:r>
        <w:t>Reduction: Implement controls to reduce the likelihood or impact of the risk.</w:t>
      </w:r>
    </w:p>
    <w:p>
      <w:pPr>
        <w:pStyle w:val="ListBullet"/>
        <w:spacing w:before="120" w:after="120"/>
      </w:pPr>
      <w:r>
        <w:t>Transfer:  Transfer the risk to a third party (e.g., insurance).</w:t>
      </w:r>
    </w:p>
    <w:p>
      <w:pPr>
        <w:pStyle w:val="ListBullet"/>
        <w:spacing w:before="120" w:after="120"/>
      </w:pPr>
      <w:r>
        <w:t>Acceptance:  Accept the risk if the likelihood and impact are low.</w:t>
      </w:r>
    </w:p>
    <w:p>
      <w:pPr>
        <w:spacing w:before="120" w:after="120"/>
        <w:jc w:val="left"/>
      </w:pPr>
      <w:r>
        <w:rPr>
          <w:rFonts w:ascii="Calibri" w:hAnsi="Calibri"/>
          <w:b/>
          <w:sz w:val="28"/>
        </w:rPr>
        <w:t>3.  Mitigation Plan Components:</w:t>
      </w:r>
    </w:p>
    <w:p>
      <w:pPr>
        <w:spacing w:before="120" w:after="120"/>
      </w:pPr>
      <w:r>
        <w:rPr>
          <w:rFonts w:ascii="Calibri" w:hAnsi="Calibri"/>
          <w:b/>
          <w:sz w:val="24"/>
        </w:rPr>
        <w:t>Each mitigation plan should include the following:</w:t>
      </w:r>
    </w:p>
    <w:p>
      <w:pPr>
        <w:pStyle w:val="ListBullet"/>
        <w:spacing w:before="120" w:after="120"/>
      </w:pPr>
      <w:r>
        <w:t>Risk Description: A clear and concise description of the risk being addressed.</w:t>
      </w:r>
    </w:p>
    <w:p>
      <w:pPr>
        <w:pStyle w:val="ListBullet"/>
        <w:spacing w:before="120" w:after="120"/>
      </w:pPr>
      <w:r>
        <w:t>Mitigation Strategies:  Specific actions to be taken to reduce or eliminate the risk.</w:t>
      </w:r>
    </w:p>
    <w:p>
      <w:pPr>
        <w:pStyle w:val="ListBullet"/>
        <w:spacing w:before="120" w:after="120"/>
      </w:pPr>
      <w:r>
        <w:t>Responsible Party:  The individual or team responsible for implementing and monitoring the mitigation strategy.</w:t>
      </w:r>
    </w:p>
    <w:p>
      <w:pPr>
        <w:pStyle w:val="ListBullet"/>
        <w:spacing w:before="120" w:after="120"/>
      </w:pPr>
      <w:r>
        <w:t>Timeline: A realistic timeline for implementing the mitigation strategy.</w:t>
      </w:r>
    </w:p>
    <w:p>
      <w:pPr>
        <w:pStyle w:val="ListBullet"/>
        <w:spacing w:before="120" w:after="120"/>
      </w:pPr>
      <w:r>
        <w:t>Resources Required:  The resources (e.g., budget, personnel, equipment) needed to implement the strategy.</w:t>
      </w:r>
    </w:p>
    <w:p>
      <w:pPr>
        <w:pStyle w:val="ListBullet"/>
        <w:spacing w:before="120" w:after="120"/>
      </w:pPr>
      <w:r>
        <w:t>Monitoring and Evaluation:  A plan for monitoring the effectiveness of the mitigation strategy and evaluating its impact.</w:t>
      </w:r>
    </w:p>
    <w:p>
      <w:pPr>
        <w:pStyle w:val="ListBullet"/>
        <w:spacing w:before="120" w:after="120"/>
      </w:pPr>
      <w:r>
        <w:t>Contingency Planning:  A plan for addressing unexpected events or failures.</w:t>
      </w:r>
    </w:p>
    <w:p>
      <w:pPr>
        <w:spacing w:before="120" w:after="120"/>
        <w:jc w:val="left"/>
      </w:pPr>
      <w:r>
        <w:rPr>
          <w:rFonts w:ascii="Calibri" w:hAnsi="Calibri"/>
          <w:b/>
          <w:sz w:val="28"/>
        </w:rPr>
        <w:t>4.  Example Mitigation Plans:</w:t>
      </w:r>
    </w:p>
    <w:p>
      <w:pPr>
        <w:pStyle w:val="ListBullet"/>
        <w:spacing w:before="120" w:after="120"/>
      </w:pPr>
      <w:r>
        <w:t>Risk:  Raw material contamination.</w:t>
      </w:r>
    </w:p>
    <w:p>
      <w:pPr>
        <w:pStyle w:val="ListBullet"/>
        <w:spacing w:before="120" w:after="120"/>
      </w:pPr>
      <w:r>
        <w:t>Mitigation Strategy:  Implement stringent supplier audits, rigorous testing of incoming materials, and enhanced sanitation procedures.</w:t>
      </w:r>
    </w:p>
    <w:p>
      <w:pPr>
        <w:pStyle w:val="ListBullet"/>
        <w:spacing w:before="120" w:after="120"/>
      </w:pPr>
      <w:r>
        <w:t>Responsible Party:  Quality Control Manager.</w:t>
      </w:r>
    </w:p>
    <w:p>
      <w:pPr>
        <w:pStyle w:val="ListBullet"/>
        <w:spacing w:before="120" w:after="120"/>
      </w:pPr>
      <w:r>
        <w:t>Timeline:  Implement within 3 months.</w:t>
      </w:r>
    </w:p>
    <w:p>
      <w:pPr>
        <w:pStyle w:val="ListBullet"/>
        <w:spacing w:before="120" w:after="120"/>
      </w:pPr>
      <w:r>
        <w:t>Risk:  Equipment malfunction.</w:t>
      </w:r>
    </w:p>
    <w:p>
      <w:pPr>
        <w:pStyle w:val="ListBullet"/>
        <w:spacing w:before="120" w:after="120"/>
      </w:pPr>
      <w:r>
        <w:t>Mitigation Strategy:  Establish a preventive maintenance program, regular equipment inspections, and backup equipment availability.</w:t>
      </w:r>
    </w:p>
    <w:p>
      <w:pPr>
        <w:pStyle w:val="ListBullet"/>
        <w:spacing w:before="120" w:after="120"/>
      </w:pPr>
      <w:r>
        <w:t>Responsible Party:  Maintenance Supervisor.</w:t>
      </w:r>
    </w:p>
    <w:p>
      <w:pPr>
        <w:pStyle w:val="ListBullet"/>
        <w:spacing w:before="120" w:after="120"/>
      </w:pPr>
      <w:r>
        <w:t>Timeline:  Implement within 6 months.</w:t>
      </w:r>
    </w:p>
    <w:p>
      <w:pPr>
        <w:spacing w:before="120" w:after="120"/>
        <w:jc w:val="left"/>
      </w:pPr>
      <w:r>
        <w:rPr>
          <w:rFonts w:ascii="Calibri" w:hAnsi="Calibri"/>
          <w:b/>
          <w:sz w:val="28"/>
        </w:rPr>
        <w:t>5.  Documentation:</w:t>
      </w:r>
    </w:p>
    <w:p>
      <w:pPr>
        <w:spacing w:before="120" w:after="120"/>
        <w:jc w:val="left"/>
      </w:pPr>
      <w:r>
        <w:rPr>
          <w:rFonts w:ascii="Calibri" w:hAnsi="Calibri"/>
          <w:sz w:val="22"/>
        </w:rPr>
        <w:t>All mitigation plans must be documented, regularly reviewed, and updated as needed.</w:t>
      </w:r>
    </w:p>
    <w:p>
      <w:pPr>
        <w:spacing w:before="120" w:after="120"/>
        <w:jc w:val="left"/>
      </w:pPr>
      <w:r>
        <w:rPr>
          <w:rFonts w:ascii="Calibri" w:hAnsi="Calibri"/>
          <w:b/>
          <w:sz w:val="28"/>
        </w:rPr>
        <w:t>6.  Compliance Notes:</w:t>
      </w:r>
    </w:p>
    <w:p>
      <w:pPr>
        <w:spacing w:before="120" w:after="120"/>
        <w:jc w:val="left"/>
      </w:pPr>
      <w:r>
        <w:rPr>
          <w:rFonts w:ascii="Calibri" w:hAnsi="Calibri"/>
          <w:sz w:val="22"/>
        </w:rPr>
        <w:t>Mitigation plans must comply with all relevant food safety regulations and industry standards.  Documentation should be readily available for audits and inspections.</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