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Identifying Muda, Mura &amp; Muri Wastes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provides a framework for identifying and classifying waste (Muda, Mura, Muri) within a food manufacturing facility (NIC Code 10101).  This process is crucial for implementing effective Lean manufacturing principles and improving operational efficiency.</w:t>
      </w:r>
    </w:p>
    <w:p>
      <w:pPr>
        <w:spacing w:before="120" w:after="120"/>
        <w:jc w:val="left"/>
      </w:pPr>
      <w:r>
        <w:rPr>
          <w:rFonts w:ascii="Calibri" w:hAnsi="Calibri"/>
          <w:b/>
          <w:sz w:val="28"/>
        </w:rPr>
        <w:t>2. Identifying Muda (Waste)</w:t>
      </w:r>
    </w:p>
    <w:p>
      <w:pPr>
        <w:spacing w:before="120" w:after="120"/>
      </w:pPr>
      <w:r>
        <w:rPr>
          <w:rFonts w:ascii="Calibri" w:hAnsi="Calibri"/>
          <w:b/>
          <w:sz w:val="24"/>
        </w:rPr>
        <w:t>Employ a systematic approach to identify the seven types of Muda:</w:t>
      </w:r>
    </w:p>
    <w:p>
      <w:pPr>
        <w:pStyle w:val="ListBullet"/>
        <w:spacing w:before="120" w:after="120"/>
      </w:pPr>
      <w:r>
        <w:t>Transportation: Map material flow to pinpoint unnecessary movement.  Observe material handling processes and identify areas where materials travel longer distances than necessary.  Look for bottlenecks and inefficiencies in the transportation system.</w:t>
      </w:r>
    </w:p>
    <w:p>
      <w:pPr>
        <w:pStyle w:val="ListBullet"/>
        <w:spacing w:before="120" w:after="120"/>
      </w:pPr>
      <w:r>
        <w:t>Inventory: Conduct regular inventory checks to identify excessive stockpiles.  Analyze inventory turnover rates to identify slow-moving items.  Implement a Just-in-Time (JIT) inventory system where feasible.</w:t>
      </w:r>
    </w:p>
    <w:p>
      <w:pPr>
        <w:pStyle w:val="ListBullet"/>
        <w:spacing w:before="120" w:after="120"/>
      </w:pPr>
      <w:r>
        <w:t>Motion:  Conduct workplace observations to identify unnecessary employee movements.  Optimize workstation layouts to minimize unnecessary steps and distances.</w:t>
      </w:r>
    </w:p>
    <w:p>
      <w:pPr>
        <w:pStyle w:val="ListBullet"/>
        <w:spacing w:before="120" w:after="120"/>
      </w:pPr>
      <w:r>
        <w:t>Waiting:  Analyze production schedules and workflows to identify bottlenecks and delays.  Implement strategies to synchronize processes and reduce waiting times.</w:t>
      </w:r>
    </w:p>
    <w:p>
      <w:pPr>
        <w:pStyle w:val="ListBullet"/>
        <w:spacing w:before="120" w:after="120"/>
      </w:pPr>
      <w:r>
        <w:t>Overproduction: Analyze production schedules and sales forecasts to ensure production aligns with demand. Avoid producing more than is needed. Implement pull systems rather than push systems.</w:t>
      </w:r>
    </w:p>
    <w:p>
      <w:pPr>
        <w:pStyle w:val="ListBullet"/>
        <w:spacing w:before="120" w:after="120"/>
      </w:pPr>
      <w:r>
        <w:t>Over-processing:  Review production processes to identify unnecessary steps or complexities. Streamline processes to reduce unnecessary effort and resources.</w:t>
      </w:r>
    </w:p>
    <w:p>
      <w:pPr>
        <w:pStyle w:val="ListBullet"/>
        <w:spacing w:before="120" w:after="120"/>
      </w:pPr>
      <w:r>
        <w:t>Defects: Track defect rates and identify root causes using tools like Pareto charts and fishbone diagrams. Implement quality control measures to prevent defects from occurring.</w:t>
      </w:r>
    </w:p>
    <w:p>
      <w:pPr>
        <w:spacing w:before="120" w:after="120"/>
        <w:jc w:val="left"/>
      </w:pPr>
      <w:r>
        <w:rPr>
          <w:rFonts w:ascii="Calibri" w:hAnsi="Calibri"/>
          <w:b/>
          <w:sz w:val="28"/>
        </w:rPr>
        <w:t>3. Identifying Mura (Inconsistency)</w:t>
      </w:r>
    </w:p>
    <w:p>
      <w:pPr>
        <w:spacing w:before="120" w:after="120"/>
      </w:pPr>
      <w:r>
        <w:rPr>
          <w:rFonts w:ascii="Calibri" w:hAnsi="Calibri"/>
          <w:b/>
          <w:sz w:val="24"/>
        </w:rPr>
        <w:t>Utilize data analysis techniques to identify inconsistencies:</w:t>
      </w:r>
    </w:p>
    <w:p>
      <w:pPr>
        <w:pStyle w:val="ListBullet"/>
        <w:spacing w:before="120" w:after="120"/>
      </w:pPr>
      <w:r>
        <w:t>Production Data Analysis: Monitor production rates, output quality, and defect rates over time to identify variations and trends.</w:t>
      </w:r>
    </w:p>
    <w:p>
      <w:pPr>
        <w:pStyle w:val="ListBullet"/>
        <w:spacing w:before="120" w:after="120"/>
      </w:pPr>
      <w:r>
        <w:t>Process Capability Studies: Assess the consistency of critical processes to ensure they meet specified requirements.</w:t>
      </w:r>
    </w:p>
    <w:p>
      <w:pPr>
        <w:pStyle w:val="ListBullet"/>
        <w:spacing w:before="120" w:after="120"/>
      </w:pPr>
      <w:r>
        <w:t>Statistical Process Control (SPC): Implement SPC charts to monitor process variations and identify potential issues early.</w:t>
      </w:r>
    </w:p>
    <w:p>
      <w:pPr>
        <w:spacing w:before="120" w:after="120"/>
        <w:jc w:val="left"/>
      </w:pPr>
      <w:r>
        <w:rPr>
          <w:rFonts w:ascii="Calibri" w:hAnsi="Calibri"/>
          <w:b/>
          <w:sz w:val="28"/>
        </w:rPr>
        <w:t>4. Identifying Muri (Overburden)</w:t>
      </w:r>
    </w:p>
    <w:p>
      <w:pPr>
        <w:spacing w:before="120" w:after="120"/>
      </w:pPr>
      <w:r>
        <w:rPr>
          <w:rFonts w:ascii="Calibri" w:hAnsi="Calibri"/>
          <w:b/>
          <w:sz w:val="24"/>
        </w:rPr>
        <w:t>Observe workplace processes and gather data to pinpoint overburden:</w:t>
      </w:r>
    </w:p>
    <w:p>
      <w:pPr>
        <w:pStyle w:val="ListBullet"/>
        <w:spacing w:before="120" w:after="120"/>
      </w:pPr>
      <w:r>
        <w:t>Employee Observation:  Observe employee workload, stress levels, and fatigue to identify instances of overburden.</w:t>
      </w:r>
    </w:p>
    <w:p>
      <w:pPr>
        <w:pStyle w:val="ListBullet"/>
        <w:spacing w:before="120" w:after="120"/>
      </w:pPr>
      <w:r>
        <w:t>Equipment Monitoring: Track equipment downtime, maintenance schedules, and repair frequency to identify equipment overburden.</w:t>
      </w:r>
    </w:p>
    <w:p>
      <w:pPr>
        <w:pStyle w:val="ListBullet"/>
        <w:spacing w:before="120" w:after="120"/>
      </w:pPr>
      <w:r>
        <w:t>Employee Surveys: Conduct regular surveys to gather feedback on workload and working conditions.</w:t>
      </w:r>
    </w:p>
    <w:p>
      <w:pPr>
        <w:spacing w:before="120" w:after="120"/>
        <w:jc w:val="left"/>
      </w:pPr>
      <w:r>
        <w:rPr>
          <w:rFonts w:ascii="Calibri" w:hAnsi="Calibri"/>
          <w:b/>
          <w:sz w:val="28"/>
        </w:rPr>
        <w:t>5. Documentation</w:t>
      </w:r>
    </w:p>
    <w:p>
      <w:pPr>
        <w:spacing w:before="120" w:after="120"/>
        <w:jc w:val="left"/>
      </w:pPr>
      <w:r>
        <w:rPr>
          <w:rFonts w:ascii="Calibri" w:hAnsi="Calibri"/>
          <w:sz w:val="22"/>
        </w:rPr>
        <w:t>All identified waste instances should be documented, including type of waste, location, frequency, and potential impact on efficiency and quality.  Use standardized forms or software to facilitate data collection and analysis.</w:t>
      </w:r>
    </w:p>
    <w:p>
      <w:pPr>
        <w:spacing w:before="120" w:after="120"/>
        <w:jc w:val="left"/>
      </w:pPr>
      <w:r>
        <w:rPr>
          <w:rFonts w:ascii="Calibri" w:hAnsi="Calibri"/>
          <w:b/>
          <w:sz w:val="28"/>
        </w:rPr>
        <w:t>6. Compliance Notes</w:t>
      </w:r>
    </w:p>
    <w:p>
      <w:pPr>
        <w:spacing w:before="120" w:after="120"/>
        <w:jc w:val="left"/>
      </w:pPr>
      <w:r>
        <w:rPr>
          <w:rFonts w:ascii="Calibri" w:hAnsi="Calibri"/>
          <w:sz w:val="22"/>
        </w:rPr>
        <w:t>The identification of waste must be conducted in compliance with all relevant health and safety regulations and company policies.  Data collected should be accurate and reliable.</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