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Establishing Targets for Natural Resource Conservation</w:t>
      </w:r>
    </w:p>
    <w:p>
      <w:pPr>
        <w:spacing w:before="120" w:after="120"/>
        <w:jc w:val="left"/>
      </w:pPr>
      <w:r>
        <w:rPr>
          <w:rFonts w:ascii="Calibri" w:hAnsi="Calibri"/>
          <w:sz w:val="22"/>
        </w:rPr>
        <w:t>This document outlines the process for establishing measurable targets for natural resource conservation within a food manufacturing facility (NIC Code 10101).</w:t>
      </w:r>
    </w:p>
    <w:p>
      <w:pPr>
        <w:spacing w:before="120" w:after="120"/>
        <w:jc w:val="left"/>
      </w:pPr>
      <w:r>
        <w:rPr>
          <w:rFonts w:ascii="Calibri" w:hAnsi="Calibri"/>
          <w:sz w:val="22"/>
        </w:rPr>
        <w:t xml:space="preserve"> 1. Scope</w:t>
      </w:r>
    </w:p>
    <w:p>
      <w:pPr>
        <w:spacing w:before="120" w:after="120"/>
        <w:jc w:val="left"/>
      </w:pPr>
      <w:r>
        <w:rPr>
          <w:rFonts w:ascii="Calibri" w:hAnsi="Calibri"/>
          <w:sz w:val="22"/>
        </w:rPr>
        <w:t>This procedure establishes specific, measurable, achievable, relevant, and time-bound (SMART) targets for reducing consumption of water, energy, raw materials, and packaging materials.</w:t>
      </w:r>
    </w:p>
    <w:p>
      <w:pPr>
        <w:spacing w:before="120" w:after="120"/>
        <w:jc w:val="left"/>
      </w:pPr>
      <w:r>
        <w:rPr>
          <w:rFonts w:ascii="Calibri" w:hAnsi="Calibri"/>
          <w:sz w:val="22"/>
        </w:rPr>
        <w:t xml:space="preserve"> 2. Methodology</w:t>
      </w:r>
    </w:p>
    <w:p>
      <w:pPr>
        <w:spacing w:before="120" w:after="120"/>
        <w:jc w:val="left"/>
      </w:pPr>
      <w:r>
        <w:rPr>
          <w:rFonts w:ascii="Calibri" w:hAnsi="Calibri"/>
          <w:b/>
          <w:sz w:val="28"/>
        </w:rPr>
        <w:t>2.1 Baseline Data:  Establish a baseline for current resource consumption using data collected as described in "Folder 18 - Parameter: Identification of Natural Resources Consumed."</w:t>
      </w:r>
    </w:p>
    <w:p>
      <w:pPr>
        <w:spacing w:before="120" w:after="120"/>
        <w:jc w:val="left"/>
      </w:pPr>
      <w:r>
        <w:rPr>
          <w:rFonts w:ascii="Calibri" w:hAnsi="Calibri"/>
          <w:b/>
          <w:sz w:val="28"/>
        </w:rPr>
        <w:t>2.2 Target Setting:  Targets will be set based on several factors:</w:t>
      </w:r>
    </w:p>
    <w:p>
      <w:pPr>
        <w:pStyle w:val="ListBullet"/>
        <w:spacing w:before="120" w:after="120"/>
      </w:pPr>
      <w:r>
        <w:t>Feasibility:  Targets should be realistic and achievable given the current technology, infrastructure, and resources available.</w:t>
      </w:r>
    </w:p>
    <w:p>
      <w:pPr>
        <w:pStyle w:val="ListBullet"/>
        <w:spacing w:before="120" w:after="120"/>
      </w:pPr>
      <w:r>
        <w:t>Industry Best Practices:  Benchmark against industry best practices and leading competitors.</w:t>
      </w:r>
    </w:p>
    <w:p>
      <w:pPr>
        <w:pStyle w:val="ListBullet"/>
        <w:spacing w:before="120" w:after="120"/>
      </w:pPr>
      <w:r>
        <w:t>Environmental Regulations:  Consider relevant environmental regulations and targets.</w:t>
      </w:r>
    </w:p>
    <w:p>
      <w:pPr>
        <w:pStyle w:val="ListBullet"/>
        <w:spacing w:before="120" w:after="120"/>
      </w:pPr>
      <w:r>
        <w:t>Cost-Benefit Analysis:  A cost-benefit analysis will be conducted to determine the economic viability of different targets.</w:t>
      </w:r>
    </w:p>
    <w:p>
      <w:pPr>
        <w:spacing w:before="120" w:after="120"/>
        <w:jc w:val="left"/>
      </w:pPr>
      <w:r>
        <w:rPr>
          <w:rFonts w:ascii="Calibri" w:hAnsi="Calibri"/>
          <w:b/>
          <w:sz w:val="28"/>
        </w:rPr>
        <w:t>2.3 Target Categories:</w:t>
      </w:r>
    </w:p>
    <w:p>
      <w:pPr>
        <w:pStyle w:val="ListBullet"/>
        <w:spacing w:before="120" w:after="120"/>
      </w:pPr>
      <w:r>
        <w:t>Water Consumption:  Set percentage reduction targets for water consumption per unit of production.</w:t>
      </w:r>
    </w:p>
    <w:p>
      <w:pPr>
        <w:pStyle w:val="ListBullet"/>
        <w:spacing w:before="120" w:after="120"/>
      </w:pPr>
      <w:r>
        <w:t>Energy Consumption:  Set percentage reduction targets for energy consumption per unit of production.</w:t>
      </w:r>
    </w:p>
    <w:p>
      <w:pPr>
        <w:pStyle w:val="ListBullet"/>
        <w:spacing w:before="120" w:after="120"/>
      </w:pPr>
      <w:r>
        <w:t>Raw Material Usage:  Set percentage reduction targets for raw material usage per unit of production, focusing on waste reduction and efficient utilization.</w:t>
      </w:r>
    </w:p>
    <w:p>
      <w:pPr>
        <w:pStyle w:val="ListBullet"/>
        <w:spacing w:before="120" w:after="120"/>
      </w:pPr>
      <w:r>
        <w:t>Packaging Material Usage:  Set percentage reduction targets for packaging material usage per unit of production, including targets for recycled content and sustainable materials.</w:t>
      </w:r>
    </w:p>
    <w:p>
      <w:pPr>
        <w:spacing w:before="120" w:after="120"/>
        <w:jc w:val="left"/>
      </w:pPr>
      <w:r>
        <w:rPr>
          <w:rFonts w:ascii="Calibri" w:hAnsi="Calibri"/>
          <w:b/>
          <w:sz w:val="28"/>
        </w:rPr>
        <w:t>2.4 Timeframes:  Establish clear timeframes for achieving each target (e.g., annual, 3-year, 5-year).</w:t>
      </w:r>
    </w:p>
    <w:p>
      <w:pPr>
        <w:spacing w:before="120" w:after="120"/>
        <w:jc w:val="left"/>
      </w:pPr>
      <w:r>
        <w:rPr>
          <w:rFonts w:ascii="Calibri" w:hAnsi="Calibri"/>
          <w:sz w:val="22"/>
        </w:rPr>
        <w:t xml:space="preserve"> 3. Monitoring and Evaluation</w:t>
      </w:r>
    </w:p>
    <w:p>
      <w:pPr>
        <w:pStyle w:val="ListBullet"/>
        <w:spacing w:before="120" w:after="120"/>
      </w:pPr>
      <w:r>
        <w:t>monitoring system will be established to track progress towards achieving the set targets.  Regular reports will be generated to assess performance and identify any deviations from the targets.  Corrective actions will be implemented as needed.</w:t>
      </w:r>
    </w:p>
    <w:p>
      <w:pPr>
        <w:spacing w:before="120" w:after="120"/>
        <w:jc w:val="left"/>
      </w:pPr>
      <w:r>
        <w:rPr>
          <w:rFonts w:ascii="Calibri" w:hAnsi="Calibri"/>
          <w:sz w:val="22"/>
        </w:rPr>
        <w:t xml:space="preserve"> 4. Compliance Notes</w:t>
      </w:r>
    </w:p>
    <w:p>
      <w:pPr>
        <w:pStyle w:val="ListBullet"/>
        <w:spacing w:before="120" w:after="120"/>
      </w:pPr>
      <w:r>
        <w:t>Regulatory Compliance:  Ensure that established targets align with relevant environmental regulations and industry standards.</w:t>
      </w:r>
    </w:p>
    <w:p>
      <w:pPr>
        <w:pStyle w:val="ListBullet"/>
        <w:spacing w:before="120" w:after="120"/>
      </w:pPr>
      <w:r>
        <w:t>Reporting Requirements:  Meet all regulatory requirements for reporting on resource consumption and conservation efforts.</w:t>
      </w:r>
    </w:p>
    <w:p>
      <w:pPr>
        <w:pStyle w:val="ListBullet"/>
        <w:spacing w:before="120" w:after="120"/>
      </w:pPr>
      <w:r>
        <w:t>ISO 14001: Consider aligning targets with the requirements of ISO 14001 Environmental Management System.</w:t>
      </w:r>
    </w:p>
    <w:p>
      <w:pPr>
        <w:spacing w:before="120" w:after="120"/>
        <w:jc w:val="left"/>
      </w:pPr>
      <w:r>
        <w:rPr>
          <w:rFonts w:ascii="Calibri" w:hAnsi="Calibri"/>
          <w:sz w:val="22"/>
        </w:rPr>
        <w:t xml:space="preserve"> 5. Practical Guidelines</w:t>
      </w:r>
    </w:p>
    <w:p>
      <w:pPr>
        <w:pStyle w:val="ListBullet"/>
        <w:spacing w:before="120" w:after="120"/>
      </w:pPr>
      <w:r>
        <w:t>Regular Reviews: Regularly review and adjust targets as needed based on performance and changing circumstances.</w:t>
      </w:r>
    </w:p>
    <w:p>
      <w:pPr>
        <w:pStyle w:val="ListBullet"/>
        <w:spacing w:before="120" w:after="120"/>
      </w:pPr>
      <w:r>
        <w:t>Employee Involvement:  Involve employees in the target-setting process to foster ownership and commitment.</w:t>
      </w:r>
    </w:p>
    <w:p>
      <w:pPr>
        <w:pStyle w:val="ListBullet"/>
        <w:spacing w:before="120" w:after="120"/>
      </w:pPr>
      <w:r>
        <w:t>Continuous Improvement:  Establish a culture of continuous improvement to continuously improve resource efficiency.</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