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Identifying Areas for Societal Contribution</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[Company Name]'s approach to identifying and contributing to societal well-being.  We recognize our responsibility as a corporate citizen to make a positive impact beyond our core business operations.</w:t>
      </w:r>
    </w:p>
    <w:p>
      <w:pPr>
        <w:spacing w:before="120" w:after="120"/>
        <w:jc w:val="left"/>
      </w:pPr>
      <w:r>
        <w:rPr>
          <w:rFonts w:ascii="Calibri" w:hAnsi="Calibri"/>
          <w:b/>
          <w:sz w:val="28"/>
        </w:rPr>
        <w:t>2. Materiality Assessment</w:t>
      </w:r>
    </w:p>
    <w:p>
      <w:pPr>
        <w:spacing w:before="120" w:after="120"/>
        <w:jc w:val="left"/>
      </w:pPr>
      <w:r>
        <w:rPr>
          <w:rFonts w:ascii="Calibri" w:hAnsi="Calibri"/>
          <w:sz w:val="22"/>
        </w:rPr>
        <w:t>We conducted a thorough materiality assessment to identify the social and environmental issues most significant to our stakeholders (employees, customers, communities, and investors).  This involved engaging with stakeholders through surveys, interviews, and focus groups to understand their priorities and concerns.</w:t>
      </w:r>
    </w:p>
    <w:p>
      <w:pPr>
        <w:spacing w:before="120" w:after="120"/>
        <w:jc w:val="left"/>
      </w:pPr>
      <w:r>
        <w:rPr>
          <w:rFonts w:ascii="Calibri" w:hAnsi="Calibri"/>
          <w:b/>
          <w:sz w:val="28"/>
        </w:rPr>
        <w:t>3. Key Areas of Societal Contribution</w:t>
      </w:r>
    </w:p>
    <w:p>
      <w:pPr>
        <w:spacing w:before="120" w:after="120"/>
        <w:jc w:val="left"/>
      </w:pPr>
      <w:r>
        <w:rPr>
          <w:rFonts w:ascii="Calibri" w:hAnsi="Calibri"/>
          <w:sz w:val="22"/>
        </w:rPr>
        <w:t>Based on our materiality assessment, we have identified the following key areas for societal contribution:</w:t>
      </w:r>
    </w:p>
    <w:p>
      <w:pPr>
        <w:pStyle w:val="ListBullet"/>
        <w:spacing w:before="120" w:after="120"/>
      </w:pPr>
      <w:r>
        <w:t>Community Engagement:  Supporting local communities through initiatives such as sponsoring local events, donating to charities, and providing educational opportunities.  Examples include [List specific initiatives].</w:t>
      </w:r>
    </w:p>
    <w:p>
      <w:pPr>
        <w:pStyle w:val="ListBullet"/>
        <w:spacing w:before="120" w:after="120"/>
      </w:pPr>
      <w:r>
        <w:t>Environmental Sustainability:  Reducing our environmental footprint through initiatives focused on water conservation, waste reduction, and energy efficiency (as detailed in Folder 18).</w:t>
      </w:r>
    </w:p>
    <w:p>
      <w:pPr>
        <w:pStyle w:val="ListBullet"/>
        <w:spacing w:before="120" w:after="120"/>
      </w:pPr>
      <w:r>
        <w:t>Employee Well-being:  Promoting the health and well-being of our employees through initiatives such as providing a safe working environment, offering health and wellness programs, and fostering a positive work culture.</w:t>
      </w:r>
    </w:p>
    <w:p>
      <w:pPr>
        <w:pStyle w:val="ListBullet"/>
        <w:spacing w:before="120" w:after="120"/>
      </w:pPr>
      <w:r>
        <w:t>Ethical Sourcing:  Ensuring ethical and sustainable sourcing of raw materials, considering factors such as fair labor practices and environmental impact.</w:t>
      </w:r>
    </w:p>
    <w:p>
      <w:pPr>
        <w:spacing w:before="120" w:after="120"/>
        <w:jc w:val="left"/>
      </w:pPr>
      <w:r>
        <w:rPr>
          <w:rFonts w:ascii="Calibri" w:hAnsi="Calibri"/>
          <w:b/>
          <w:sz w:val="28"/>
        </w:rPr>
        <w:t>4. Implementation and Measurement</w:t>
      </w:r>
    </w:p>
    <w:p>
      <w:pPr>
        <w:spacing w:before="120" w:after="120"/>
        <w:jc w:val="left"/>
      </w:pPr>
      <w:r>
        <w:rPr>
          <w:rFonts w:ascii="Calibri" w:hAnsi="Calibri"/>
          <w:sz w:val="22"/>
        </w:rPr>
        <w:t>Our societal contribution initiatives are implemented through specific projects and programs, with clear goals and targets.  We track our progress through key performance indicators (KPIs) to measure our impact and identify areas for improvement.  Regular reporting to stakeholders keeps them informed of our progress.</w:t>
      </w:r>
    </w:p>
    <w:p>
      <w:pPr>
        <w:spacing w:before="120" w:after="120"/>
        <w:jc w:val="left"/>
      </w:pPr>
      <w:r>
        <w:rPr>
          <w:rFonts w:ascii="Calibri" w:hAnsi="Calibri"/>
          <w:b/>
          <w:sz w:val="28"/>
        </w:rPr>
        <w:t>5. Continuous Improvement</w:t>
      </w:r>
    </w:p>
    <w:p>
      <w:pPr>
        <w:spacing w:before="120" w:after="120"/>
        <w:jc w:val="left"/>
      </w:pPr>
      <w:r>
        <w:rPr>
          <w:rFonts w:ascii="Calibri" w:hAnsi="Calibri"/>
          <w:sz w:val="22"/>
        </w:rPr>
        <w:t>We continuously review and refine our approach to societal contribution, considering feedback from stakeholders and adapting to evolving societal needs.  We believe that our commitment to societal well-being is not only ethically responsible but also essential for long-term business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