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Identifying Statutory &amp; Regulatory Requirements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the process employed by [Company Name] to identify and comply with all relevant statutory and regulatory requirements pertaining to the manufacture of food products (NIC Code: 10101).  Maintaining compliance is paramount for ensuring product safety, protecting consumer health, and avoiding legal penalties.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Identification of Applicable Regulations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We employ a systematic approach to identify relevant legislation, using the following resources:</w:t>
      </w:r>
    </w:p>
    <w:p>
      <w:pPr>
        <w:pStyle w:val="ListBullet"/>
        <w:spacing w:before="120" w:after="120"/>
      </w:pPr>
      <w:r>
        <w:t>Government Websites:  We regularly review the websites of relevant governmental agencies at local, regional, and national levels. This includes agencies responsible for food safety, environmental protection, labor laws, and occupational health and safety.</w:t>
      </w:r>
    </w:p>
    <w:p>
      <w:pPr>
        <w:pStyle w:val="ListBullet"/>
        <w:spacing w:before="120" w:after="120"/>
      </w:pPr>
      <w:r>
        <w:t>Industry Associations:  Membership in relevant industry associations provides access to updates on regulations and best practices.</w:t>
      </w:r>
    </w:p>
    <w:p>
      <w:pPr>
        <w:pStyle w:val="ListBullet"/>
        <w:spacing w:before="120" w:after="120"/>
      </w:pPr>
      <w:r>
        <w:t>Legal Counsel:  We consult with legal experts to ensure that our interpretation of regulations is accurate and our compliance programs are comprehensive.</w:t>
      </w:r>
    </w:p>
    <w:p>
      <w:pPr>
        <w:pStyle w:val="ListBullet"/>
        <w:spacing w:before="120" w:after="120"/>
      </w:pPr>
      <w:r>
        <w:t>Subscription Services:  We subscribe to specialized information services that provide up-to-date information on regulatory changes.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Regulatory Compliance Program</w:t>
      </w:r>
    </w:p>
    <w:p>
      <w:pPr>
        <w:spacing w:before="120" w:after="120"/>
      </w:pPr>
      <w:r>
        <w:rPr>
          <w:rFonts w:ascii="Calibri" w:hAnsi="Calibri"/>
          <w:b/>
          <w:sz w:val="24"/>
        </w:rPr>
        <w:t>Our compliance program encompasses:</w:t>
      </w:r>
    </w:p>
    <w:p>
      <w:pPr>
        <w:pStyle w:val="ListBullet"/>
        <w:spacing w:before="120" w:after="120"/>
      </w:pPr>
      <w:r>
        <w:t>Documentation: A centralized system maintains all relevant regulations and their interpretation, along with evidence of compliance.</w:t>
      </w:r>
    </w:p>
    <w:p>
      <w:pPr>
        <w:pStyle w:val="ListBullet"/>
        <w:spacing w:before="120" w:after="120"/>
      </w:pPr>
      <w:r>
        <w:t>Training:  Employees are trained on relevant regulations and their implications for their daily work.</w:t>
      </w:r>
    </w:p>
    <w:p>
      <w:pPr>
        <w:pStyle w:val="ListBullet"/>
        <w:spacing w:before="120" w:after="120"/>
      </w:pPr>
      <w:r>
        <w:t>Audits:  Regular internal and external audits verify compliance with all identified regulations.</w:t>
      </w:r>
    </w:p>
    <w:p>
      <w:pPr>
        <w:pStyle w:val="ListBullet"/>
        <w:spacing w:before="120" w:after="120"/>
      </w:pPr>
      <w:r>
        <w:t>Record Keeping:  Detailed records are kept to demonstrate compliance with all applicable regulations.</w:t>
      </w:r>
    </w:p>
    <w:p>
      <w:pPr>
        <w:pStyle w:val="ListBullet"/>
        <w:spacing w:before="120" w:after="120"/>
      </w:pPr>
      <w:r>
        <w:t>Continuous Monitoring:  Regulations are continuously monitored for updates and changes, with prompt implementation of any necessary adjustments.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Specific Regulatory Areas</w:t>
      </w:r>
    </w:p>
    <w:p>
      <w:pPr>
        <w:spacing w:before="120" w:after="120"/>
      </w:pPr>
      <w:r>
        <w:rPr>
          <w:rFonts w:ascii="Calibri" w:hAnsi="Calibri"/>
          <w:b/>
          <w:sz w:val="24"/>
        </w:rPr>
        <w:t>Our regulatory compliance program addresses the following key areas:</w:t>
      </w:r>
    </w:p>
    <w:p>
      <w:pPr>
        <w:pStyle w:val="ListBullet"/>
        <w:spacing w:before="120" w:after="120"/>
      </w:pPr>
      <w:r>
        <w:t>Food Safety: Compliance with regulations related to food safety, hygiene, and allergen control (e.g., HACCP, GMP).</w:t>
      </w:r>
    </w:p>
    <w:p>
      <w:pPr>
        <w:pStyle w:val="ListBullet"/>
        <w:spacing w:before="120" w:after="120"/>
      </w:pPr>
      <w:r>
        <w:t>Environmental Regulations:  Compliance with regulations related to wastewater discharge, waste management, and energy consumption.</w:t>
      </w:r>
    </w:p>
    <w:p>
      <w:pPr>
        <w:pStyle w:val="ListBullet"/>
        <w:spacing w:before="120" w:after="120"/>
      </w:pPr>
      <w:r>
        <w:t>Occupational Health and Safety:  Compliance with regulations related to worker safety, training, and risk management.</w:t>
      </w:r>
    </w:p>
    <w:p>
      <w:pPr>
        <w:pStyle w:val="ListBullet"/>
        <w:spacing w:before="120" w:after="120"/>
      </w:pPr>
      <w:r>
        <w:t>Labeling and Packaging:  Compliance with regulations related to product labeling, packaging materials, and traceability.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Legal and Enforcement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Failure to comply with statutory and regulatory requirements can result in significant penalties, including fines, legal action, and reputational damage. We maintain a proactive approach to regulatory compliance to mitigate these risks.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