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E0908" w14:textId="2AE5FC3D" w:rsidR="00B03988" w:rsidRPr="00A44C68" w:rsidRDefault="00B03988" w:rsidP="00B03988">
      <w:pPr>
        <w:pStyle w:val="NormalWeb"/>
        <w:jc w:val="center"/>
        <w:rPr>
          <w:rFonts w:asciiTheme="minorHAnsi" w:hAnsiTheme="minorHAnsi" w:cstheme="minorHAnsi"/>
          <w:sz w:val="28"/>
          <w:szCs w:val="28"/>
        </w:rPr>
      </w:pPr>
      <w:r w:rsidRPr="00A44C68">
        <w:rPr>
          <w:rStyle w:val="Strong"/>
          <w:rFonts w:asciiTheme="minorHAnsi" w:hAnsiTheme="minorHAnsi" w:cstheme="minorHAnsi"/>
          <w:sz w:val="28"/>
          <w:szCs w:val="28"/>
        </w:rPr>
        <w:t>Cross-Sectional Insights: Elevating Stock Analysis Beyond Traditional Ratios</w:t>
      </w:r>
    </w:p>
    <w:p w14:paraId="3F3A9FA1" w14:textId="77777777" w:rsidR="00684676" w:rsidRDefault="00684676" w:rsidP="00B03988">
      <w:pPr>
        <w:rPr>
          <w:b/>
          <w:bCs/>
        </w:rPr>
      </w:pPr>
    </w:p>
    <w:p w14:paraId="7EF40942" w14:textId="470AAEF1" w:rsidR="00B03988" w:rsidRPr="00B03988" w:rsidRDefault="00B03988" w:rsidP="00B03988">
      <w:pPr>
        <w:rPr>
          <w:sz w:val="24"/>
          <w:szCs w:val="24"/>
        </w:rPr>
      </w:pPr>
      <w:r w:rsidRPr="00B03988">
        <w:rPr>
          <w:b/>
          <w:bCs/>
          <w:sz w:val="24"/>
          <w:szCs w:val="24"/>
        </w:rPr>
        <w:t>Introduction</w:t>
      </w:r>
    </w:p>
    <w:p w14:paraId="73142B93" w14:textId="77777777" w:rsidR="00B03988" w:rsidRPr="00B03988" w:rsidRDefault="00B03988" w:rsidP="00B03988">
      <w:r w:rsidRPr="00B03988">
        <w:t>Within the dynamic landscape of stock market analysis, financial ratios have persistently served as foundational tools for gauging a company's financial health. This research explores whether these conventional metrics furnish comprehensive insights to inform prudent investment decisions, particularly in the Financial Services sector.</w:t>
      </w:r>
    </w:p>
    <w:p w14:paraId="67D89751" w14:textId="204C6763" w:rsidR="00B03988" w:rsidRPr="00B03988" w:rsidRDefault="00B03988" w:rsidP="00B03988">
      <w:pPr>
        <w:rPr>
          <w:sz w:val="24"/>
          <w:szCs w:val="24"/>
        </w:rPr>
      </w:pPr>
      <w:r w:rsidRPr="00B03988">
        <w:rPr>
          <w:b/>
          <w:bCs/>
          <w:sz w:val="24"/>
          <w:szCs w:val="24"/>
        </w:rPr>
        <w:t>Methodologies</w:t>
      </w:r>
    </w:p>
    <w:p w14:paraId="7B31F46F" w14:textId="77777777" w:rsidR="00B03988" w:rsidRPr="00B03988" w:rsidRDefault="00B03988" w:rsidP="00B03988">
      <w:r w:rsidRPr="00B03988">
        <w:t xml:space="preserve">The study utilizes Kaggle's dataset "200+ Financial Indicators of US stocks (2014-2018)" to conduct a cross-sectional analysis of top Financial Services companies. Key financial ratios such as current ratio, return on assets, and debt-to-equity are </w:t>
      </w:r>
      <w:proofErr w:type="spellStart"/>
      <w:r w:rsidRPr="00B03988">
        <w:t>analyzed</w:t>
      </w:r>
      <w:proofErr w:type="spellEnd"/>
      <w:r w:rsidRPr="00B03988">
        <w:t xml:space="preserve"> alongside operational and market-based metrics. Data preprocessing includes rigorous cleaning and transformation using R libraries to ensure data integrity and prepare for logistic regression </w:t>
      </w:r>
      <w:proofErr w:type="spellStart"/>
      <w:r w:rsidRPr="00B03988">
        <w:t>modeling</w:t>
      </w:r>
      <w:proofErr w:type="spellEnd"/>
      <w:r w:rsidRPr="00B03988">
        <w:t>.</w:t>
      </w:r>
    </w:p>
    <w:p w14:paraId="4941ECEA" w14:textId="77777777" w:rsidR="00874E21" w:rsidRDefault="00874E21" w:rsidP="00B03988">
      <w:pPr>
        <w:rPr>
          <w:b/>
          <w:bCs/>
        </w:rPr>
      </w:pPr>
    </w:p>
    <w:p w14:paraId="467B49C0" w14:textId="143ED36E" w:rsidR="00B03988" w:rsidRPr="00A44C68" w:rsidRDefault="00B03988" w:rsidP="00B03988">
      <w:pPr>
        <w:rPr>
          <w:b/>
          <w:bCs/>
          <w:sz w:val="24"/>
          <w:szCs w:val="24"/>
        </w:rPr>
      </w:pPr>
      <w:r w:rsidRPr="00B03988">
        <w:rPr>
          <w:b/>
          <w:bCs/>
          <w:sz w:val="24"/>
          <w:szCs w:val="24"/>
        </w:rPr>
        <w:t>Results and Discussion</w:t>
      </w:r>
    </w:p>
    <w:p w14:paraId="5DEAB202" w14:textId="77777777" w:rsidR="00874E21" w:rsidRPr="00B03988" w:rsidRDefault="00874E21" w:rsidP="00B03988"/>
    <w:p w14:paraId="02C9154F" w14:textId="77777777" w:rsidR="00B03988" w:rsidRPr="00B03988" w:rsidRDefault="00B03988" w:rsidP="00B03988">
      <w:r w:rsidRPr="00B03988">
        <w:rPr>
          <w:b/>
          <w:bCs/>
        </w:rPr>
        <w:t>Overview of Financial Services Sector:</w:t>
      </w:r>
      <w:r w:rsidRPr="00B03988">
        <w:t xml:space="preserve"> The study identifies top companies (e.g., Bank of America, Citigroup) based on market capitalization over five years, highlighting their revenue trends and sector dominance.</w:t>
      </w:r>
    </w:p>
    <w:p w14:paraId="774320E8" w14:textId="77777777" w:rsidR="00B03988" w:rsidRPr="00B03988" w:rsidRDefault="00B03988" w:rsidP="00B03988">
      <w:r w:rsidRPr="00B03988">
        <w:rPr>
          <w:b/>
          <w:bCs/>
        </w:rPr>
        <w:t>Cross-Sectional Analysis:</w:t>
      </w:r>
    </w:p>
    <w:p w14:paraId="655260BD" w14:textId="77777777" w:rsidR="00B03988" w:rsidRPr="00B03988" w:rsidRDefault="00B03988" w:rsidP="00B03988">
      <w:pPr>
        <w:numPr>
          <w:ilvl w:val="0"/>
          <w:numId w:val="1"/>
        </w:numPr>
      </w:pPr>
      <w:r w:rsidRPr="00B03988">
        <w:rPr>
          <w:b/>
          <w:bCs/>
        </w:rPr>
        <w:t>Liquidity Ratios:</w:t>
      </w:r>
      <w:r w:rsidRPr="00B03988">
        <w:t xml:space="preserve"> Variations in current and quick ratios reveal differing liquidity management strategies. For instance, digital payment companies like Mastercard and Visa exhibit high liquidity, while traditional banks like JPMorgan Chase and Wells Fargo show varied performance.</w:t>
      </w:r>
    </w:p>
    <w:p w14:paraId="24561831" w14:textId="77777777" w:rsidR="00B03988" w:rsidRPr="00B03988" w:rsidRDefault="00B03988" w:rsidP="00B03988">
      <w:pPr>
        <w:numPr>
          <w:ilvl w:val="0"/>
          <w:numId w:val="1"/>
        </w:numPr>
      </w:pPr>
      <w:r w:rsidRPr="00B03988">
        <w:rPr>
          <w:b/>
          <w:bCs/>
        </w:rPr>
        <w:t>Profitability Ratios:</w:t>
      </w:r>
      <w:r w:rsidRPr="00B03988">
        <w:t xml:space="preserve"> Net profit margins and return on assets (ROA) demonstrate contrasting performances. Mastercard and Visa consistently exceed industry benchmarks, whereas traditional banks like Citigroup struggle with profitability metrics.</w:t>
      </w:r>
    </w:p>
    <w:p w14:paraId="15EAC800" w14:textId="77777777" w:rsidR="00B03988" w:rsidRPr="00B03988" w:rsidRDefault="00B03988" w:rsidP="00B03988">
      <w:pPr>
        <w:numPr>
          <w:ilvl w:val="0"/>
          <w:numId w:val="1"/>
        </w:numPr>
      </w:pPr>
      <w:r w:rsidRPr="00B03988">
        <w:rPr>
          <w:b/>
          <w:bCs/>
        </w:rPr>
        <w:t>Market-Based Metrics:</w:t>
      </w:r>
      <w:r w:rsidRPr="00B03988">
        <w:t xml:space="preserve"> EPS and P/E ratios reflect investor sentiment and growth expectations. Mastercard and Visa maintain high P/E ratios, indicating strong investor confidence, whereas other institutions show more stable but varied ratios.</w:t>
      </w:r>
    </w:p>
    <w:p w14:paraId="6B076451" w14:textId="77777777" w:rsidR="00B03988" w:rsidRDefault="00B03988" w:rsidP="00B03988">
      <w:pPr>
        <w:numPr>
          <w:ilvl w:val="0"/>
          <w:numId w:val="1"/>
        </w:numPr>
      </w:pPr>
      <w:r w:rsidRPr="00B03988">
        <w:rPr>
          <w:b/>
          <w:bCs/>
        </w:rPr>
        <w:t>Debt Management:</w:t>
      </w:r>
      <w:r w:rsidRPr="00B03988">
        <w:t xml:space="preserve"> Analysis of debt-to-equity, EV/EBITDA, and debt service coverage ratios reveals strategic differences. Banks like Bank of America and Citigroup display higher debt-to-equity ratios, indicating greater reliance on debt financing, while Mastercard shows strong market valuation with high EV/EBITDA ratios.</w:t>
      </w:r>
    </w:p>
    <w:p w14:paraId="22DE0A91" w14:textId="77777777" w:rsidR="00684676" w:rsidRDefault="00684676" w:rsidP="00684676"/>
    <w:p w14:paraId="5BDBFD93" w14:textId="77777777" w:rsidR="00684676" w:rsidRDefault="00684676" w:rsidP="00684676"/>
    <w:p w14:paraId="704302D9" w14:textId="77777777" w:rsidR="00684676" w:rsidRDefault="00684676" w:rsidP="00684676"/>
    <w:p w14:paraId="15A059BC" w14:textId="658B2FA5" w:rsidR="00B03988" w:rsidRPr="00B03988" w:rsidRDefault="00B03988" w:rsidP="00B03988">
      <w:pPr>
        <w:rPr>
          <w:sz w:val="24"/>
          <w:szCs w:val="24"/>
        </w:rPr>
      </w:pPr>
      <w:r w:rsidRPr="00B03988">
        <w:rPr>
          <w:b/>
          <w:bCs/>
          <w:sz w:val="24"/>
          <w:szCs w:val="24"/>
        </w:rPr>
        <w:lastRenderedPageBreak/>
        <w:t>Regression Analysis</w:t>
      </w:r>
    </w:p>
    <w:p w14:paraId="439F40C3" w14:textId="77777777" w:rsidR="00B03988" w:rsidRPr="00B03988" w:rsidRDefault="00B03988" w:rsidP="00B03988">
      <w:r w:rsidRPr="00B03988">
        <w:t>The study employs logistic regression to assess the impact of financial ratios on investment decisions:</w:t>
      </w:r>
    </w:p>
    <w:p w14:paraId="4F844CE9" w14:textId="77777777" w:rsidR="00B03988" w:rsidRPr="00B03988" w:rsidRDefault="00B03988" w:rsidP="00B03988">
      <w:pPr>
        <w:numPr>
          <w:ilvl w:val="0"/>
          <w:numId w:val="2"/>
        </w:numPr>
      </w:pPr>
      <w:r w:rsidRPr="00B03988">
        <w:rPr>
          <w:b/>
          <w:bCs/>
        </w:rPr>
        <w:t>Model Setup:</w:t>
      </w:r>
      <w:r w:rsidRPr="00B03988">
        <w:t xml:space="preserve"> The logistic regression model includes key financial ratios (current ratio, return on assets, net profit margin, etc.) as predictors of the 'Class' variable ('0' for 'Don't buy' and '1' for 'Buy').</w:t>
      </w:r>
    </w:p>
    <w:p w14:paraId="218758D8" w14:textId="77777777" w:rsidR="00B03988" w:rsidRPr="00B03988" w:rsidRDefault="00B03988" w:rsidP="00B03988">
      <w:pPr>
        <w:numPr>
          <w:ilvl w:val="0"/>
          <w:numId w:val="2"/>
        </w:numPr>
      </w:pPr>
      <w:r w:rsidRPr="00B03988">
        <w:rPr>
          <w:b/>
          <w:bCs/>
        </w:rPr>
        <w:t>Coefficients and Statistics:</w:t>
      </w:r>
      <w:r w:rsidRPr="00B03988">
        <w:t xml:space="preserve"> Table 1 presents estimated coefficients, standard errors, z-values, and p-values for each predictor. Notably, return on assets and debt-to-assets ratios show near-significant influences on investment decisions (p-values of 0.0785 and 0.0545 respectively).</w:t>
      </w:r>
    </w:p>
    <w:p w14:paraId="606813E9" w14:textId="77777777" w:rsidR="00B03988" w:rsidRPr="00B03988" w:rsidRDefault="00B03988" w:rsidP="00B03988">
      <w:pPr>
        <w:numPr>
          <w:ilvl w:val="0"/>
          <w:numId w:val="2"/>
        </w:numPr>
      </w:pPr>
      <w:r w:rsidRPr="00B03988">
        <w:rPr>
          <w:b/>
          <w:bCs/>
        </w:rPr>
        <w:t>Accuracy and Predictive Power:</w:t>
      </w:r>
      <w:r w:rsidRPr="00B03988">
        <w:t xml:space="preserve"> The model achieves approximately 61.86% accuracy, indicating moderate predictive ability. Correlation analysis confirms minimal multicollinearity among predictors, validating the model's robustness.</w:t>
      </w:r>
    </w:p>
    <w:p w14:paraId="13D0A963" w14:textId="66B8D000" w:rsidR="00B03988" w:rsidRPr="00B03988" w:rsidRDefault="00B03988" w:rsidP="00B03988">
      <w:pPr>
        <w:rPr>
          <w:sz w:val="24"/>
          <w:szCs w:val="24"/>
        </w:rPr>
      </w:pPr>
      <w:r w:rsidRPr="00B03988">
        <w:rPr>
          <w:b/>
          <w:bCs/>
          <w:sz w:val="24"/>
          <w:szCs w:val="24"/>
        </w:rPr>
        <w:t>Conclusion</w:t>
      </w:r>
    </w:p>
    <w:p w14:paraId="0A6A37EE" w14:textId="77777777" w:rsidR="00544A0F" w:rsidRDefault="00B03988" w:rsidP="00B03988">
      <w:r w:rsidRPr="00B03988">
        <w:t>Traditional financial ratios provide valuable insights into company performance, yet their predictive power varies across different metrics. Return on assets and debt-to-assets ratios emerge as potentially influential in investment decisions, suggesting a nuanced approach is necessary for effective stock analysis. Investors and analysts should complement traditional metrics with advanced analytical techniques to navigate the complexities of the Financial Services sector.</w:t>
      </w:r>
    </w:p>
    <w:p w14:paraId="4116284B" w14:textId="180ECA0E" w:rsidR="00B03988" w:rsidRPr="00B03988" w:rsidRDefault="00B03988" w:rsidP="00B03988">
      <w:pPr>
        <w:rPr>
          <w:sz w:val="24"/>
          <w:szCs w:val="24"/>
        </w:rPr>
      </w:pPr>
      <w:r w:rsidRPr="00B03988">
        <w:rPr>
          <w:b/>
          <w:bCs/>
          <w:sz w:val="24"/>
          <w:szCs w:val="24"/>
        </w:rPr>
        <w:t>Limitations</w:t>
      </w:r>
    </w:p>
    <w:p w14:paraId="0A14AF59" w14:textId="77777777" w:rsidR="00B03988" w:rsidRPr="00B03988" w:rsidRDefault="00B03988" w:rsidP="00B03988">
      <w:r w:rsidRPr="00B03988">
        <w:t>The study is limited by the dataset's scope and structure, including missing values and the absence of comprehensive time series data. These constraints may affect the generalizability and robustness of findings, emphasizing the need for future research with broader datasets and extended time frames.</w:t>
      </w:r>
    </w:p>
    <w:p w14:paraId="788A87E5" w14:textId="77777777" w:rsidR="00C30AE1" w:rsidRDefault="00C30AE1"/>
    <w:sectPr w:rsidR="00C30AE1" w:rsidSect="00A44C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0ABC"/>
    <w:multiLevelType w:val="multilevel"/>
    <w:tmpl w:val="F2E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50ECE"/>
    <w:multiLevelType w:val="multilevel"/>
    <w:tmpl w:val="2D2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138875">
    <w:abstractNumId w:val="0"/>
  </w:num>
  <w:num w:numId="2" w16cid:durableId="1440879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FB"/>
    <w:rsid w:val="00434566"/>
    <w:rsid w:val="00544A0F"/>
    <w:rsid w:val="00684676"/>
    <w:rsid w:val="00874E21"/>
    <w:rsid w:val="008B20FB"/>
    <w:rsid w:val="00A44C68"/>
    <w:rsid w:val="00B03988"/>
    <w:rsid w:val="00C30AE1"/>
    <w:rsid w:val="00C41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F24"/>
  <w15:chartTrackingRefBased/>
  <w15:docId w15:val="{28A60919-9789-4387-BC99-CDEB27DA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9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3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70794">
      <w:bodyDiv w:val="1"/>
      <w:marLeft w:val="0"/>
      <w:marRight w:val="0"/>
      <w:marTop w:val="0"/>
      <w:marBottom w:val="0"/>
      <w:divBdr>
        <w:top w:val="none" w:sz="0" w:space="0" w:color="auto"/>
        <w:left w:val="none" w:sz="0" w:space="0" w:color="auto"/>
        <w:bottom w:val="none" w:sz="0" w:space="0" w:color="auto"/>
        <w:right w:val="none" w:sz="0" w:space="0" w:color="auto"/>
      </w:divBdr>
    </w:div>
    <w:div w:id="5008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Nemade</dc:creator>
  <cp:keywords/>
  <dc:description/>
  <cp:lastModifiedBy>Kshitij Nemade</cp:lastModifiedBy>
  <cp:revision>7</cp:revision>
  <dcterms:created xsi:type="dcterms:W3CDTF">2024-07-03T15:35:00Z</dcterms:created>
  <dcterms:modified xsi:type="dcterms:W3CDTF">2024-07-03T15:38:00Z</dcterms:modified>
</cp:coreProperties>
</file>