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EA3994" w14:textId="77777777" w:rsidR="000E2BB3" w:rsidRDefault="00000000">
      <w:pPr>
        <w:spacing w:after="0" w:line="240" w:lineRule="auto"/>
        <w:ind w:left="720" w:hanging="360"/>
        <w:jc w:val="center"/>
        <w:rPr>
          <w:rFonts w:ascii="Times New Roman" w:eastAsia="Times New Roman" w:hAnsi="Times New Roman" w:cs="Times New Roman"/>
          <w:b/>
          <w:bCs/>
          <w:color w:val="000000"/>
          <w:sz w:val="24"/>
          <w:szCs w:val="24"/>
        </w:rPr>
      </w:pPr>
      <w:r>
        <w:rPr>
          <w:noProof/>
        </w:rPr>
        <mc:AlternateContent>
          <mc:Choice Requires="wps">
            <w:drawing>
              <wp:anchor distT="0" distB="0" distL="114300" distR="114300" simplePos="0" relativeHeight="251658240" behindDoc="0" locked="0" layoutInCell="1" hidden="0" allowOverlap="1" wp14:anchorId="52B841BD" wp14:editId="01BEC23C">
                <wp:simplePos x="0" y="0"/>
                <wp:positionH relativeFrom="column">
                  <wp:posOffset>-91439</wp:posOffset>
                </wp:positionH>
                <wp:positionV relativeFrom="paragraph">
                  <wp:posOffset>-182879</wp:posOffset>
                </wp:positionV>
                <wp:extent cx="6263640" cy="8503920"/>
                <wp:effectExtent l="0" t="0" r="0" b="0"/>
                <wp:wrapNone/>
                <wp:docPr id="4" name="Rectangle 4"/>
                <wp:cNvGraphicFramePr/>
                <a:graphic xmlns:a="http://schemas.openxmlformats.org/drawingml/2006/main">
                  <a:graphicData uri="http://schemas.microsoft.com/office/word/2010/wordprocessingShape">
                    <wps:wsp>
                      <wps:cNvSpPr/>
                      <wps:spPr>
                        <a:xfrm>
                          <a:off x="2252280" y="0"/>
                          <a:ext cx="6187440" cy="7560000"/>
                        </a:xfrm>
                        <a:prstGeom prst="rect">
                          <a:avLst/>
                        </a:prstGeom>
                        <a:noFill/>
                        <a:ln w="76200" cap="flat" cmpd="tri">
                          <a:solidFill>
                            <a:srgbClr val="808080"/>
                          </a:solidFill>
                          <a:prstDash val="solid"/>
                          <a:miter lim="8000"/>
                          <a:headEnd type="none" w="sm" len="sm"/>
                          <a:tailEnd type="none" w="sm" len="sm"/>
                        </a:ln>
                        <a:effectLst>
                          <a:outerShdw dist="53882" dir="2700000" algn="ctr" rotWithShape="0">
                            <a:srgbClr val="C0C0C0"/>
                          </a:outerShdw>
                        </a:effectLst>
                      </wps:spPr>
                      <wps:txbx>
                        <w:txbxContent>
                          <w:p w14:paraId="20B6F5A6" w14:textId="77777777" w:rsidR="000E2BB3" w:rsidRDefault="000E2BB3">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2B841BD" id="Rectangle 4" o:spid="_x0000_s1026" style="position:absolute;left:0;text-align:left;margin-left:-7.2pt;margin-top:-14.4pt;width:493.2pt;height:669.6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" filled="f" strokecolor="gray" strokeweight="6pt">
                <v:stroke startarrowwidth="narrow" startarrowlength="short" endarrowwidth="narrow" endarrowlength="short" miterlimit="5243f" linestyle="thickBetweenThin"/>
                <v:shadow on="t" color="silver" offset="3pt,3pt"/>
                <v:textbox inset="2.53958mm,2.53958mm,2.53958mm,2.53958mm">
                  <w:txbxContent>
                    <w:p w14:paraId="20B6F5A6" w14:textId="77777777" w:rsidR="000E2BB3" w:rsidRDefault="000E2BB3">
                      <w:pPr>
                        <w:spacing w:after="0" w:line="240" w:lineRule="auto"/>
                        <w:textDirection w:val="btLr"/>
                      </w:pPr>
                    </w:p>
                  </w:txbxContent>
                </v:textbox>
              </v:rect>
            </w:pict>
          </mc:Fallback>
        </mc:AlternateContent>
      </w:r>
    </w:p>
    <w:p w14:paraId="60AF9C62"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 </w:t>
      </w:r>
    </w:p>
    <w:p w14:paraId="4C0F4F97"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0E2E31B8" wp14:editId="1D3622FC">
            <wp:extent cx="2880360" cy="7467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880360" cy="746760"/>
                    </a:xfrm>
                    <a:prstGeom prst="rect">
                      <a:avLst/>
                    </a:prstGeom>
                    <a:ln/>
                  </pic:spPr>
                </pic:pic>
              </a:graphicData>
            </a:graphic>
          </wp:inline>
        </w:drawing>
      </w:r>
      <w:r>
        <w:rPr>
          <w:rFonts w:ascii="Times New Roman" w:eastAsia="Times New Roman" w:hAnsi="Times New Roman" w:cs="Times New Roman"/>
          <w:color w:val="000000"/>
          <w:sz w:val="24"/>
          <w:szCs w:val="24"/>
        </w:rPr>
        <w:t> </w:t>
      </w:r>
    </w:p>
    <w:p w14:paraId="026D3498" w14:textId="77777777" w:rsidR="000E2BB3" w:rsidRDefault="00000000">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p w14:paraId="32874B70" w14:textId="77777777" w:rsidR="000E2BB3" w:rsidRDefault="000E2BB3">
      <w:pPr>
        <w:spacing w:after="0" w:line="240" w:lineRule="auto"/>
        <w:jc w:val="center"/>
        <w:rPr>
          <w:rFonts w:ascii="Times New Roman" w:eastAsia="Times New Roman" w:hAnsi="Times New Roman" w:cs="Times New Roman"/>
          <w:sz w:val="18"/>
          <w:szCs w:val="18"/>
        </w:rPr>
      </w:pPr>
    </w:p>
    <w:p w14:paraId="0B65E594" w14:textId="77777777" w:rsidR="000E2BB3" w:rsidRDefault="000E2BB3">
      <w:pPr>
        <w:spacing w:after="0" w:line="240" w:lineRule="auto"/>
        <w:jc w:val="center"/>
        <w:rPr>
          <w:rFonts w:ascii="Times New Roman" w:eastAsia="Times New Roman" w:hAnsi="Times New Roman" w:cs="Times New Roman"/>
          <w:sz w:val="18"/>
          <w:szCs w:val="18"/>
        </w:rPr>
      </w:pPr>
    </w:p>
    <w:p w14:paraId="5F2519BC" w14:textId="77777777" w:rsidR="000E2BB3" w:rsidRDefault="000E2BB3">
      <w:pPr>
        <w:spacing w:after="0" w:line="240" w:lineRule="auto"/>
        <w:jc w:val="center"/>
        <w:rPr>
          <w:rFonts w:ascii="Times New Roman" w:eastAsia="Times New Roman" w:hAnsi="Times New Roman" w:cs="Times New Roman"/>
          <w:sz w:val="18"/>
          <w:szCs w:val="18"/>
        </w:rPr>
      </w:pPr>
    </w:p>
    <w:p w14:paraId="2D591944" w14:textId="77777777" w:rsidR="000E2BB3" w:rsidRDefault="000E2BB3">
      <w:pPr>
        <w:spacing w:after="0" w:line="240" w:lineRule="auto"/>
        <w:jc w:val="center"/>
        <w:rPr>
          <w:rFonts w:ascii="Times New Roman" w:eastAsia="Times New Roman" w:hAnsi="Times New Roman" w:cs="Times New Roman"/>
          <w:sz w:val="18"/>
          <w:szCs w:val="18"/>
        </w:rPr>
      </w:pPr>
    </w:p>
    <w:p w14:paraId="4E2B029F" w14:textId="77777777" w:rsidR="000E2BB3" w:rsidRDefault="00000000">
      <w:pPr>
        <w:spacing w:after="0" w:line="240" w:lineRule="auto"/>
        <w:ind w:left="720" w:hanging="360"/>
        <w:jc w:val="center"/>
        <w:rPr>
          <w:rFonts w:ascii="Times New Roman" w:eastAsia="Times New Roman" w:hAnsi="Times New Roman" w:cs="Times New Roman"/>
          <w:b/>
          <w:bCs/>
          <w:color w:val="202122"/>
          <w:sz w:val="36"/>
          <w:szCs w:val="36"/>
          <w:highlight w:val="white"/>
        </w:rPr>
      </w:pPr>
      <w:r>
        <w:rPr>
          <w:rFonts w:ascii="Times New Roman" w:eastAsia="Times New Roman" w:hAnsi="Times New Roman" w:cs="Times New Roman"/>
          <w:b/>
          <w:bCs/>
          <w:color w:val="202122"/>
          <w:sz w:val="36"/>
          <w:szCs w:val="36"/>
          <w:highlight w:val="white"/>
        </w:rPr>
        <w:t>Team research and project proposal</w:t>
      </w:r>
    </w:p>
    <w:p w14:paraId="63105B16" w14:textId="77777777" w:rsidR="000E2BB3" w:rsidRDefault="000E2BB3">
      <w:pPr>
        <w:spacing w:after="0" w:line="240" w:lineRule="auto"/>
        <w:ind w:left="720" w:hanging="360"/>
        <w:jc w:val="center"/>
        <w:rPr>
          <w:rFonts w:ascii="Times New Roman" w:eastAsia="Times New Roman" w:hAnsi="Times New Roman" w:cs="Times New Roman"/>
          <w:b/>
          <w:bCs/>
          <w:color w:val="202122"/>
          <w:sz w:val="36"/>
          <w:szCs w:val="36"/>
          <w:highlight w:val="white"/>
        </w:rPr>
      </w:pPr>
    </w:p>
    <w:p w14:paraId="05834638" w14:textId="77777777" w:rsidR="000E2BB3" w:rsidRDefault="000E2BB3">
      <w:pPr>
        <w:spacing w:after="0" w:line="240" w:lineRule="auto"/>
        <w:ind w:left="720" w:hanging="360"/>
        <w:jc w:val="center"/>
        <w:rPr>
          <w:rFonts w:ascii="Times New Roman" w:eastAsia="Times New Roman" w:hAnsi="Times New Roman" w:cs="Times New Roman"/>
          <w:sz w:val="18"/>
          <w:szCs w:val="18"/>
        </w:rPr>
      </w:pPr>
    </w:p>
    <w:p w14:paraId="1829830D" w14:textId="77777777" w:rsidR="000E2BB3" w:rsidRDefault="00000000">
      <w:pPr>
        <w:spacing w:after="0" w:line="240" w:lineRule="auto"/>
        <w:ind w:left="720" w:hanging="360"/>
        <w:jc w:val="center"/>
        <w:rPr>
          <w:rFonts w:ascii="Times New Roman" w:eastAsia="Times New Roman" w:hAnsi="Times New Roman" w:cs="Times New Roman"/>
          <w:color w:val="000000"/>
          <w:sz w:val="44"/>
          <w:szCs w:val="44"/>
        </w:rPr>
      </w:pPr>
      <w:r>
        <w:rPr>
          <w:rFonts w:ascii="Times New Roman" w:eastAsia="Times New Roman" w:hAnsi="Times New Roman" w:cs="Times New Roman"/>
          <w:b/>
          <w:bCs/>
          <w:color w:val="202122"/>
          <w:sz w:val="48"/>
          <w:szCs w:val="48"/>
          <w:highlight w:val="white"/>
        </w:rPr>
        <w:t>Professional Skills and Responsibilities in AI-Enabled Organizations</w:t>
      </w:r>
      <w:r>
        <w:rPr>
          <w:rFonts w:ascii="Times New Roman" w:eastAsia="Times New Roman" w:hAnsi="Times New Roman" w:cs="Times New Roman"/>
          <w:color w:val="000000"/>
          <w:sz w:val="44"/>
          <w:szCs w:val="44"/>
        </w:rPr>
        <w:t> </w:t>
      </w:r>
    </w:p>
    <w:p w14:paraId="0B953FC0" w14:textId="77777777" w:rsidR="000E2BB3" w:rsidRDefault="000E2BB3">
      <w:pPr>
        <w:spacing w:after="0" w:line="240" w:lineRule="auto"/>
        <w:ind w:left="720" w:hanging="360"/>
        <w:jc w:val="center"/>
        <w:rPr>
          <w:rFonts w:ascii="Times New Roman" w:eastAsia="Times New Roman" w:hAnsi="Times New Roman" w:cs="Times New Roman"/>
          <w:color w:val="000000"/>
          <w:sz w:val="44"/>
          <w:szCs w:val="44"/>
        </w:rPr>
      </w:pPr>
    </w:p>
    <w:p w14:paraId="77BB5ACD" w14:textId="77777777" w:rsidR="000E2BB3" w:rsidRDefault="000E2BB3">
      <w:pPr>
        <w:spacing w:after="0" w:line="240" w:lineRule="auto"/>
        <w:ind w:left="720" w:hanging="360"/>
        <w:jc w:val="center"/>
        <w:rPr>
          <w:rFonts w:ascii="Times New Roman" w:eastAsia="Times New Roman" w:hAnsi="Times New Roman" w:cs="Times New Roman"/>
          <w:color w:val="000000"/>
          <w:sz w:val="44"/>
          <w:szCs w:val="44"/>
        </w:rPr>
      </w:pPr>
    </w:p>
    <w:p w14:paraId="69975132" w14:textId="77777777" w:rsidR="000E2BB3" w:rsidRDefault="000E2BB3">
      <w:pPr>
        <w:spacing w:after="0" w:line="240" w:lineRule="auto"/>
        <w:ind w:left="720" w:hanging="360"/>
        <w:jc w:val="center"/>
        <w:rPr>
          <w:rFonts w:ascii="Times New Roman" w:eastAsia="Times New Roman" w:hAnsi="Times New Roman" w:cs="Times New Roman"/>
          <w:color w:val="000000"/>
          <w:sz w:val="44"/>
          <w:szCs w:val="44"/>
        </w:rPr>
      </w:pPr>
    </w:p>
    <w:p w14:paraId="6D12EC90"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28"/>
          <w:szCs w:val="28"/>
        </w:rPr>
        <w:t>Team 2</w:t>
      </w:r>
      <w:r>
        <w:rPr>
          <w:rFonts w:ascii="Times New Roman" w:eastAsia="Times New Roman" w:hAnsi="Times New Roman" w:cs="Times New Roman"/>
          <w:color w:val="000000"/>
          <w:sz w:val="28"/>
          <w:szCs w:val="28"/>
        </w:rPr>
        <w:t> </w:t>
      </w:r>
    </w:p>
    <w:p w14:paraId="0A0A44C1" w14:textId="77777777" w:rsidR="000E2BB3" w:rsidRDefault="00000000">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 </w:t>
      </w:r>
    </w:p>
    <w:p w14:paraId="46FC5DEE"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24"/>
          <w:szCs w:val="24"/>
        </w:rPr>
        <w:t>Professor: MOHAMMAD ALNABHAN</w:t>
      </w:r>
    </w:p>
    <w:p w14:paraId="5AAC47AE" w14:textId="77777777" w:rsidR="000E2BB3" w:rsidRDefault="000E2BB3">
      <w:pPr>
        <w:spacing w:after="0" w:line="240" w:lineRule="auto"/>
        <w:rPr>
          <w:rFonts w:ascii="Times New Roman" w:eastAsia="Times New Roman" w:hAnsi="Times New Roman" w:cs="Times New Roman"/>
          <w:color w:val="000000"/>
          <w:sz w:val="44"/>
          <w:szCs w:val="44"/>
        </w:rPr>
      </w:pPr>
    </w:p>
    <w:p w14:paraId="1E46BE59" w14:textId="77777777" w:rsidR="000E2BB3" w:rsidRDefault="000E2BB3">
      <w:pPr>
        <w:spacing w:after="0" w:line="240" w:lineRule="auto"/>
        <w:ind w:left="720" w:hanging="360"/>
        <w:jc w:val="center"/>
        <w:rPr>
          <w:rFonts w:ascii="Times New Roman" w:eastAsia="Times New Roman" w:hAnsi="Times New Roman" w:cs="Times New Roman"/>
          <w:sz w:val="32"/>
          <w:szCs w:val="32"/>
        </w:rPr>
      </w:pPr>
    </w:p>
    <w:p w14:paraId="1B011189" w14:textId="77777777" w:rsidR="000E2BB3" w:rsidRDefault="00000000">
      <w:pPr>
        <w:spacing w:after="0" w:line="240" w:lineRule="auto"/>
        <w:ind w:left="720" w:hanging="36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Prepared by:</w:t>
      </w:r>
    </w:p>
    <w:p w14:paraId="130A66E6" w14:textId="77777777" w:rsidR="000E2BB3" w:rsidRDefault="000E2BB3">
      <w:pPr>
        <w:spacing w:after="0" w:line="240" w:lineRule="auto"/>
        <w:ind w:left="720" w:hanging="360"/>
        <w:jc w:val="center"/>
        <w:rPr>
          <w:rFonts w:ascii="Times New Roman" w:eastAsia="Times New Roman" w:hAnsi="Times New Roman" w:cs="Times New Roman"/>
          <w:sz w:val="18"/>
          <w:szCs w:val="18"/>
        </w:rPr>
      </w:pPr>
    </w:p>
    <w:tbl>
      <w:tblPr>
        <w:tblStyle w:val="a"/>
        <w:tblW w:w="7470" w:type="dxa"/>
        <w:tblInd w:w="108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615"/>
        <w:gridCol w:w="3855"/>
      </w:tblGrid>
      <w:tr w:rsidR="000E2BB3" w14:paraId="7B61D92D" w14:textId="77777777">
        <w:trPr>
          <w:trHeight w:val="285"/>
        </w:trPr>
        <w:tc>
          <w:tcPr>
            <w:tcW w:w="3615" w:type="dxa"/>
            <w:tcBorders>
              <w:top w:val="nil"/>
              <w:left w:val="nil"/>
              <w:bottom w:val="nil"/>
              <w:right w:val="nil"/>
            </w:tcBorders>
          </w:tcPr>
          <w:p w14:paraId="111A4CE4"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3855" w:type="dxa"/>
            <w:tcBorders>
              <w:top w:val="nil"/>
              <w:left w:val="nil"/>
              <w:bottom w:val="nil"/>
              <w:right w:val="nil"/>
            </w:tcBorders>
          </w:tcPr>
          <w:p w14:paraId="3904774F"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ID:</w:t>
            </w:r>
          </w:p>
        </w:tc>
      </w:tr>
      <w:tr w:rsidR="000E2BB3" w14:paraId="31D2C391" w14:textId="77777777">
        <w:trPr>
          <w:trHeight w:val="285"/>
        </w:trPr>
        <w:tc>
          <w:tcPr>
            <w:tcW w:w="3615" w:type="dxa"/>
            <w:tcBorders>
              <w:top w:val="nil"/>
              <w:left w:val="nil"/>
              <w:bottom w:val="nil"/>
              <w:right w:val="nil"/>
            </w:tcBorders>
          </w:tcPr>
          <w:p w14:paraId="73D59E7D"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Kshitij</w:t>
            </w:r>
          </w:p>
        </w:tc>
        <w:tc>
          <w:tcPr>
            <w:tcW w:w="3855" w:type="dxa"/>
            <w:tcBorders>
              <w:top w:val="nil"/>
              <w:left w:val="nil"/>
              <w:bottom w:val="nil"/>
              <w:right w:val="nil"/>
            </w:tcBorders>
          </w:tcPr>
          <w:p w14:paraId="652E0716"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0E2BB3" w14:paraId="5D866A86" w14:textId="77777777">
        <w:trPr>
          <w:trHeight w:val="285"/>
        </w:trPr>
        <w:tc>
          <w:tcPr>
            <w:tcW w:w="3615" w:type="dxa"/>
            <w:tcBorders>
              <w:top w:val="nil"/>
              <w:left w:val="nil"/>
              <w:bottom w:val="nil"/>
              <w:right w:val="nil"/>
            </w:tcBorders>
          </w:tcPr>
          <w:p w14:paraId="7DA54CB7"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Victor</w:t>
            </w:r>
          </w:p>
        </w:tc>
        <w:tc>
          <w:tcPr>
            <w:tcW w:w="3855" w:type="dxa"/>
            <w:tcBorders>
              <w:top w:val="nil"/>
              <w:left w:val="nil"/>
              <w:bottom w:val="nil"/>
              <w:right w:val="nil"/>
            </w:tcBorders>
          </w:tcPr>
          <w:p w14:paraId="497D0DC7"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0E2BB3" w14:paraId="094C53DE" w14:textId="77777777">
        <w:trPr>
          <w:trHeight w:val="285"/>
        </w:trPr>
        <w:tc>
          <w:tcPr>
            <w:tcW w:w="3615" w:type="dxa"/>
            <w:tcBorders>
              <w:top w:val="nil"/>
              <w:left w:val="nil"/>
              <w:bottom w:val="nil"/>
              <w:right w:val="nil"/>
            </w:tcBorders>
          </w:tcPr>
          <w:p w14:paraId="08B191B7"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Mustafa </w:t>
            </w:r>
            <w:proofErr w:type="spellStart"/>
            <w:r>
              <w:rPr>
                <w:rFonts w:ascii="Times New Roman" w:eastAsia="Times New Roman" w:hAnsi="Times New Roman" w:cs="Times New Roman"/>
                <w:sz w:val="24"/>
                <w:szCs w:val="24"/>
              </w:rPr>
              <w:t>Bayirli</w:t>
            </w:r>
            <w:proofErr w:type="spellEnd"/>
          </w:p>
        </w:tc>
        <w:tc>
          <w:tcPr>
            <w:tcW w:w="3855" w:type="dxa"/>
            <w:tcBorders>
              <w:top w:val="nil"/>
              <w:left w:val="nil"/>
              <w:bottom w:val="nil"/>
              <w:right w:val="nil"/>
            </w:tcBorders>
          </w:tcPr>
          <w:p w14:paraId="1F2FD6B3"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300144781</w:t>
            </w:r>
          </w:p>
        </w:tc>
      </w:tr>
      <w:tr w:rsidR="000E2BB3" w14:paraId="409E93B0" w14:textId="77777777">
        <w:trPr>
          <w:trHeight w:val="285"/>
        </w:trPr>
        <w:tc>
          <w:tcPr>
            <w:tcW w:w="3615" w:type="dxa"/>
            <w:tcBorders>
              <w:top w:val="nil"/>
              <w:left w:val="nil"/>
              <w:bottom w:val="nil"/>
              <w:right w:val="nil"/>
            </w:tcBorders>
          </w:tcPr>
          <w:p w14:paraId="503A2006"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Khang Tran</w:t>
            </w:r>
          </w:p>
        </w:tc>
        <w:tc>
          <w:tcPr>
            <w:tcW w:w="3855" w:type="dxa"/>
            <w:tcBorders>
              <w:top w:val="nil"/>
              <w:left w:val="nil"/>
              <w:bottom w:val="nil"/>
              <w:right w:val="nil"/>
            </w:tcBorders>
          </w:tcPr>
          <w:p w14:paraId="60EB5EBE" w14:textId="77777777" w:rsidR="000E2BB3"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300525932</w:t>
            </w:r>
          </w:p>
        </w:tc>
      </w:tr>
    </w:tbl>
    <w:p w14:paraId="1E9499A9" w14:textId="77777777" w:rsidR="000E2BB3" w:rsidRDefault="000E2BB3">
      <w:pPr>
        <w:spacing w:after="0" w:line="240" w:lineRule="auto"/>
        <w:ind w:left="720" w:hanging="360"/>
        <w:jc w:val="center"/>
        <w:rPr>
          <w:rFonts w:ascii="Times New Roman" w:eastAsia="Times New Roman" w:hAnsi="Times New Roman" w:cs="Times New Roman"/>
          <w:sz w:val="18"/>
          <w:szCs w:val="18"/>
        </w:rPr>
      </w:pPr>
    </w:p>
    <w:p w14:paraId="45D7B040" w14:textId="77777777" w:rsidR="000E2BB3" w:rsidRDefault="000E2BB3">
      <w:pPr>
        <w:spacing w:after="0" w:line="240" w:lineRule="auto"/>
        <w:ind w:left="720" w:hanging="360"/>
        <w:jc w:val="center"/>
        <w:rPr>
          <w:rFonts w:ascii="Times New Roman" w:eastAsia="Times New Roman" w:hAnsi="Times New Roman" w:cs="Times New Roman"/>
          <w:b/>
          <w:bCs/>
          <w:color w:val="000000"/>
          <w:sz w:val="28"/>
          <w:szCs w:val="28"/>
        </w:rPr>
      </w:pPr>
    </w:p>
    <w:p w14:paraId="7E916881" w14:textId="77777777" w:rsidR="000E2BB3" w:rsidRDefault="000E2BB3">
      <w:pPr>
        <w:spacing w:after="0" w:line="240" w:lineRule="auto"/>
        <w:ind w:left="720" w:hanging="360"/>
        <w:jc w:val="center"/>
        <w:rPr>
          <w:rFonts w:ascii="Times New Roman" w:eastAsia="Times New Roman" w:hAnsi="Times New Roman" w:cs="Times New Roman"/>
          <w:b/>
          <w:bCs/>
          <w:color w:val="000000"/>
          <w:sz w:val="28"/>
          <w:szCs w:val="28"/>
        </w:rPr>
      </w:pPr>
    </w:p>
    <w:p w14:paraId="2B63143A"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 </w:t>
      </w:r>
    </w:p>
    <w:p w14:paraId="130BB630"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Faculty of Engineering | Faculté de génie </w:t>
      </w:r>
    </w:p>
    <w:p w14:paraId="4358FCFE"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 xml:space="preserve">University of Ottawa | Université </w:t>
      </w:r>
      <w:proofErr w:type="spellStart"/>
      <w:r>
        <w:rPr>
          <w:rFonts w:ascii="Times New Roman" w:eastAsia="Times New Roman" w:hAnsi="Times New Roman" w:cs="Times New Roman"/>
          <w:color w:val="000000"/>
          <w:sz w:val="24"/>
          <w:szCs w:val="24"/>
        </w:rPr>
        <w:t>d'Ottawa</w:t>
      </w:r>
      <w:proofErr w:type="spellEnd"/>
      <w:r>
        <w:rPr>
          <w:rFonts w:ascii="Times New Roman" w:eastAsia="Times New Roman" w:hAnsi="Times New Roman" w:cs="Times New Roman"/>
          <w:color w:val="000000"/>
          <w:sz w:val="24"/>
          <w:szCs w:val="24"/>
        </w:rPr>
        <w:t> </w:t>
      </w:r>
    </w:p>
    <w:p w14:paraId="47EE86E5" w14:textId="77777777" w:rsidR="000E2BB3" w:rsidRDefault="00000000">
      <w:pPr>
        <w:spacing w:after="0" w:line="240" w:lineRule="auto"/>
        <w:ind w:left="720" w:hanging="360"/>
        <w:jc w:val="center"/>
        <w:rPr>
          <w:rFonts w:ascii="Times New Roman" w:eastAsia="Times New Roman" w:hAnsi="Times New Roman" w:cs="Times New Roman"/>
          <w:sz w:val="18"/>
          <w:szCs w:val="18"/>
        </w:rPr>
      </w:pPr>
      <w:r>
        <w:rPr>
          <w:rFonts w:ascii="Times New Roman" w:eastAsia="Times New Roman" w:hAnsi="Times New Roman" w:cs="Times New Roman"/>
          <w:color w:val="000000"/>
          <w:sz w:val="24"/>
          <w:szCs w:val="24"/>
        </w:rPr>
        <w:t>Submission Date: November 8</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2026 </w:t>
      </w:r>
    </w:p>
    <w:p w14:paraId="24B9EB3D" w14:textId="77777777" w:rsidR="000E2BB3" w:rsidRDefault="000E2BB3">
      <w:pPr>
        <w:rPr>
          <w:rFonts w:ascii="Times New Roman" w:eastAsia="Times New Roman" w:hAnsi="Times New Roman" w:cs="Times New Roman"/>
        </w:rPr>
      </w:pPr>
    </w:p>
    <w:p w14:paraId="0B825A28" w14:textId="77777777" w:rsidR="000E2BB3" w:rsidRDefault="00000000">
      <w:pPr>
        <w:pStyle w:val="Heading1"/>
        <w:numPr>
          <w:ilvl w:val="0"/>
          <w:numId w:val="1"/>
        </w:numPr>
        <w:rPr>
          <w:rFonts w:ascii="Times New Roman" w:eastAsia="Times New Roman" w:hAnsi="Times New Roman" w:cs="Times New Roman"/>
        </w:rPr>
      </w:pPr>
      <w:bookmarkStart w:id="0" w:name="_heading=h.qfxaxnd1manh" w:colFirst="0" w:colLast="0"/>
      <w:bookmarkEnd w:id="0"/>
      <w:r>
        <w:rPr>
          <w:rFonts w:ascii="Times New Roman" w:eastAsia="Times New Roman" w:hAnsi="Times New Roman" w:cs="Times New Roman"/>
        </w:rPr>
        <w:lastRenderedPageBreak/>
        <w:t xml:space="preserve">Problem Statement </w:t>
      </w:r>
    </w:p>
    <w:p w14:paraId="22C95F97" w14:textId="77777777" w:rsidR="000E2BB3" w:rsidRDefault="00000000">
      <w:pPr>
        <w:rPr>
          <w:rFonts w:ascii="Times New Roman" w:eastAsia="Times New Roman" w:hAnsi="Times New Roman" w:cs="Times New Roman"/>
        </w:rPr>
      </w:pPr>
      <w:r>
        <w:rPr>
          <w:rFonts w:ascii="Times New Roman" w:eastAsia="Times New Roman" w:hAnsi="Times New Roman" w:cs="Times New Roman"/>
        </w:rPr>
        <w:t xml:space="preserve">The use of AI-assisted coding in banking data pipeline development can introduce data security and validation risks, potentially </w:t>
      </w:r>
      <w:proofErr w:type="gramStart"/>
      <w:r>
        <w:rPr>
          <w:rFonts w:ascii="Times New Roman" w:eastAsia="Times New Roman" w:hAnsi="Times New Roman" w:cs="Times New Roman"/>
        </w:rPr>
        <w:t>exposing</w:t>
      </w:r>
      <w:proofErr w:type="gramEnd"/>
      <w:r>
        <w:rPr>
          <w:rFonts w:ascii="Times New Roman" w:eastAsia="Times New Roman" w:hAnsi="Times New Roman" w:cs="Times New Roman"/>
        </w:rPr>
        <w:t xml:space="preserve"> sensitive customer information and producing inaccurate financial data.</w:t>
      </w:r>
    </w:p>
    <w:p w14:paraId="2264DA08" w14:textId="77777777" w:rsidR="000E2BB3" w:rsidRDefault="00000000">
      <w:pPr>
        <w:pStyle w:val="Heading1"/>
        <w:numPr>
          <w:ilvl w:val="0"/>
          <w:numId w:val="1"/>
        </w:numPr>
        <w:rPr>
          <w:rFonts w:ascii="Times New Roman" w:eastAsia="Times New Roman" w:hAnsi="Times New Roman" w:cs="Times New Roman"/>
        </w:rPr>
      </w:pPr>
      <w:r>
        <w:rPr>
          <w:rFonts w:ascii="Times New Roman" w:eastAsia="Times New Roman" w:hAnsi="Times New Roman" w:cs="Times New Roman"/>
        </w:rPr>
        <w:t>Build and test a search strategy</w:t>
      </w:r>
    </w:p>
    <w:p w14:paraId="120D24E6" w14:textId="77777777" w:rsidR="000E2BB3" w:rsidRDefault="000E2BB3">
      <w:pPr>
        <w:rPr>
          <w:rFonts w:ascii="Times New Roman" w:eastAsia="Times New Roman" w:hAnsi="Times New Roman" w:cs="Times New Roman"/>
        </w:rPr>
      </w:pPr>
    </w:p>
    <w:tbl>
      <w:tblPr>
        <w:tblStyle w:val="a0"/>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3099760" w14:textId="77777777">
        <w:trPr>
          <w:jc w:val="center"/>
        </w:trPr>
        <w:tc>
          <w:tcPr>
            <w:tcW w:w="5112" w:type="dxa"/>
            <w:vAlign w:val="center"/>
          </w:tcPr>
          <w:p w14:paraId="1D4D43A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Research Question (Approved scope)</w:t>
            </w:r>
          </w:p>
        </w:tc>
        <w:tc>
          <w:tcPr>
            <w:tcW w:w="5112" w:type="dxa"/>
            <w:vAlign w:val="center"/>
          </w:tcPr>
          <w:p w14:paraId="203460D9" w14:textId="18093CE7" w:rsidR="001A4F8F" w:rsidRDefault="001A4F8F" w:rsidP="001A4F8F">
            <w:pPr>
              <w:pStyle w:val="NormalWeb"/>
            </w:pPr>
            <w:r>
              <w:t xml:space="preserve">How can Canadian banks use AI-powered data governance, using an open-source platform such as </w:t>
            </w:r>
            <w:proofErr w:type="spellStart"/>
            <w:r>
              <w:t>OpenMetadata</w:t>
            </w:r>
            <w:proofErr w:type="spellEnd"/>
            <w:r>
              <w:t>, to keep their relational data secure and accurate as they adopt AI to develop and modernize their data pipelines?</w:t>
            </w:r>
          </w:p>
          <w:p w14:paraId="382A1F90" w14:textId="27E53BD0"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How can organizations use AI during data-pipeline development and modernization while maintaining appropriate data-security and data-validation practices? </w:t>
            </w:r>
            <w:r>
              <w:rPr>
                <w:rFonts w:ascii="Times New Roman" w:eastAsia="Times New Roman" w:hAnsi="Times New Roman" w:cs="Times New Roman"/>
              </w:rPr>
              <w:br/>
            </w:r>
            <w:r>
              <w:rPr>
                <w:rFonts w:ascii="Times New Roman" w:eastAsia="Times New Roman" w:hAnsi="Times New Roman" w:cs="Times New Roman"/>
              </w:rPr>
              <w:br/>
              <w:t xml:space="preserve">An explainer: </w:t>
            </w:r>
            <w:r>
              <w:rPr>
                <w:rFonts w:ascii="Times New Roman" w:eastAsia="Times New Roman" w:hAnsi="Times New Roman" w:cs="Times New Roman"/>
              </w:rPr>
              <w:br/>
              <w:t>So, companies have databases</w:t>
            </w:r>
            <w:r>
              <w:rPr>
                <w:rFonts w:ascii="Times New Roman" w:eastAsia="Times New Roman" w:hAnsi="Times New Roman" w:cs="Times New Roman"/>
              </w:rPr>
              <w:br/>
              <w:t xml:space="preserve">And companies have programs to use and build that data aka data pipelines. </w:t>
            </w:r>
            <w:r>
              <w:rPr>
                <w:rFonts w:ascii="Times New Roman" w:eastAsia="Times New Roman" w:hAnsi="Times New Roman" w:cs="Times New Roman"/>
              </w:rPr>
              <w:br/>
              <w:t xml:space="preserve">Those data pipelines can influence the </w:t>
            </w:r>
            <w:proofErr w:type="gramStart"/>
            <w:r>
              <w:rPr>
                <w:rFonts w:ascii="Times New Roman" w:eastAsia="Times New Roman" w:hAnsi="Times New Roman" w:cs="Times New Roman"/>
              </w:rPr>
              <w:t>database,</w:t>
            </w:r>
            <w:proofErr w:type="gramEnd"/>
            <w:r>
              <w:rPr>
                <w:rFonts w:ascii="Times New Roman" w:eastAsia="Times New Roman" w:hAnsi="Times New Roman" w:cs="Times New Roman"/>
              </w:rPr>
              <w:t xml:space="preserve"> they need to be sure to maintain data accuracy of the data aka data validation and not to leak it. </w:t>
            </w:r>
            <w:r>
              <w:rPr>
                <w:rFonts w:ascii="Times New Roman" w:eastAsia="Times New Roman" w:hAnsi="Times New Roman" w:cs="Times New Roman"/>
              </w:rPr>
              <w:br/>
              <w:t xml:space="preserve">Before this was done manually </w:t>
            </w:r>
            <w:r>
              <w:rPr>
                <w:rFonts w:ascii="Times New Roman" w:eastAsia="Times New Roman" w:hAnsi="Times New Roman" w:cs="Times New Roman"/>
              </w:rPr>
              <w:br/>
              <w:t xml:space="preserve">Now you introduce AI, and it can cause more risks, mostly because its automated, faster and can like make up code that is incorrect. </w:t>
            </w:r>
            <w:r>
              <w:rPr>
                <w:rFonts w:ascii="Times New Roman" w:eastAsia="Times New Roman" w:hAnsi="Times New Roman" w:cs="Times New Roman"/>
              </w:rPr>
              <w:br/>
              <w:t xml:space="preserve">If </w:t>
            </w:r>
            <w:proofErr w:type="spellStart"/>
            <w:proofErr w:type="gramStart"/>
            <w:r>
              <w:rPr>
                <w:rFonts w:ascii="Times New Roman" w:eastAsia="Times New Roman" w:hAnsi="Times New Roman" w:cs="Times New Roman"/>
              </w:rPr>
              <w:t>your</w:t>
            </w:r>
            <w:proofErr w:type="spellEnd"/>
            <w:proofErr w:type="gramEnd"/>
            <w:r>
              <w:rPr>
                <w:rFonts w:ascii="Times New Roman" w:eastAsia="Times New Roman" w:hAnsi="Times New Roman" w:cs="Times New Roman"/>
              </w:rPr>
              <w:t xml:space="preserve"> not careful that data can be leaked to the ai, be it through database links, or just copy pasting data there. Or you know the AI can write code to send the data somewhere insecure. An insecure data pipeline.</w:t>
            </w:r>
            <w:r>
              <w:rPr>
                <w:rFonts w:ascii="Times New Roman" w:eastAsia="Times New Roman" w:hAnsi="Times New Roman" w:cs="Times New Roman"/>
              </w:rPr>
              <w:br/>
              <w:t xml:space="preserve">And the data pipelines built by the Ai could influence the data accuracy of it. </w:t>
            </w:r>
            <w:r>
              <w:rPr>
                <w:rFonts w:ascii="Times New Roman" w:eastAsia="Times New Roman" w:hAnsi="Times New Roman" w:cs="Times New Roman"/>
              </w:rPr>
              <w:br/>
              <w:t>Example of data accuracy: In the university table, your student number is mismatched with another student name</w:t>
            </w:r>
            <w:r>
              <w:rPr>
                <w:rFonts w:ascii="Times New Roman" w:eastAsia="Times New Roman" w:hAnsi="Times New Roman" w:cs="Times New Roman"/>
              </w:rPr>
              <w:br/>
            </w:r>
            <w:r>
              <w:rPr>
                <w:rFonts w:ascii="Times New Roman" w:eastAsia="Times New Roman" w:hAnsi="Times New Roman" w:cs="Times New Roman"/>
              </w:rPr>
              <w:br/>
              <w:t xml:space="preserve">So now we try to find ways to mitigate that </w:t>
            </w:r>
            <w:r>
              <w:rPr>
                <w:rFonts w:ascii="Times New Roman" w:eastAsia="Times New Roman" w:hAnsi="Times New Roman" w:cs="Times New Roman"/>
              </w:rPr>
              <w:br/>
              <w:t xml:space="preserve">Like by using data governance tools </w:t>
            </w:r>
            <w:r>
              <w:rPr>
                <w:rFonts w:ascii="Times New Roman" w:eastAsia="Times New Roman" w:hAnsi="Times New Roman" w:cs="Times New Roman"/>
              </w:rPr>
              <w:br/>
            </w:r>
            <w:r>
              <w:rPr>
                <w:rFonts w:ascii="Times New Roman" w:eastAsia="Times New Roman" w:hAnsi="Times New Roman" w:cs="Times New Roman"/>
              </w:rPr>
              <w:br/>
              <w:t>Scope: databases and relational tables</w:t>
            </w:r>
            <w:r>
              <w:rPr>
                <w:rFonts w:ascii="Times New Roman" w:eastAsia="Times New Roman" w:hAnsi="Times New Roman" w:cs="Times New Roman"/>
              </w:rPr>
              <w:br/>
            </w:r>
            <w:r>
              <w:rPr>
                <w:rFonts w:ascii="Times New Roman" w:eastAsia="Times New Roman" w:hAnsi="Times New Roman" w:cs="Times New Roman"/>
              </w:rPr>
              <w:br/>
              <w:t xml:space="preserve">Suggested one: </w:t>
            </w: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w:t>
            </w:r>
            <w:r>
              <w:rPr>
                <w:rFonts w:ascii="Times New Roman" w:eastAsia="Times New Roman" w:hAnsi="Times New Roman" w:cs="Times New Roman"/>
              </w:rPr>
              <w:br/>
            </w:r>
            <w:r>
              <w:rPr>
                <w:rFonts w:ascii="Times New Roman" w:eastAsia="Times New Roman" w:hAnsi="Times New Roman" w:cs="Times New Roman"/>
              </w:rPr>
              <w:lastRenderedPageBreak/>
              <w:t xml:space="preserve">Suggested scope: Banks and financials </w:t>
            </w:r>
            <w:r>
              <w:rPr>
                <w:rFonts w:ascii="Times New Roman" w:eastAsia="Times New Roman" w:hAnsi="Times New Roman" w:cs="Times New Roman"/>
              </w:rPr>
              <w:br/>
            </w:r>
            <w:r>
              <w:rPr>
                <w:rFonts w:ascii="Times New Roman" w:eastAsia="Times New Roman" w:hAnsi="Times New Roman" w:cs="Times New Roman"/>
              </w:rPr>
              <w:br/>
            </w:r>
          </w:p>
        </w:tc>
      </w:tr>
      <w:tr w:rsidR="000E2BB3" w14:paraId="205D639D" w14:textId="77777777">
        <w:trPr>
          <w:jc w:val="center"/>
        </w:trPr>
        <w:tc>
          <w:tcPr>
            <w:tcW w:w="5112" w:type="dxa"/>
            <w:vAlign w:val="center"/>
          </w:tcPr>
          <w:p w14:paraId="6201235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Database/Tool (e.g., Scopus, IEEE Xplore)</w:t>
            </w:r>
          </w:p>
        </w:tc>
        <w:tc>
          <w:tcPr>
            <w:tcW w:w="5112" w:type="dxa"/>
            <w:vAlign w:val="center"/>
          </w:tcPr>
          <w:p w14:paraId="60B5251B" w14:textId="44C9F5E5"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IEEE, OMNI, Library Catalog</w:t>
            </w:r>
            <w:r w:rsidR="001A4F8F">
              <w:rPr>
                <w:rFonts w:ascii="Times New Roman" w:eastAsia="Times New Roman" w:hAnsi="Times New Roman" w:cs="Times New Roman"/>
              </w:rPr>
              <w:t xml:space="preserve">, </w:t>
            </w:r>
            <w:proofErr w:type="spellStart"/>
            <w:r w:rsidR="001A4F8F">
              <w:rPr>
                <w:rFonts w:ascii="Times New Roman" w:eastAsia="Times New Roman" w:hAnsi="Times New Roman" w:cs="Times New Roman"/>
              </w:rPr>
              <w:t>O</w:t>
            </w:r>
            <w:r w:rsidR="001A4F8F">
              <w:t>penAlex</w:t>
            </w:r>
            <w:proofErr w:type="spellEnd"/>
            <w:r w:rsidR="001A4F8F">
              <w:t xml:space="preserve">, </w:t>
            </w:r>
            <w:proofErr w:type="spellStart"/>
            <w:r w:rsidR="001A4F8F">
              <w:t>Crossref</w:t>
            </w:r>
            <w:proofErr w:type="spellEnd"/>
            <w:r w:rsidR="001A4F8F">
              <w:t xml:space="preserve">, </w:t>
            </w:r>
            <w:proofErr w:type="spellStart"/>
            <w:r w:rsidR="001A4F8F">
              <w:t>arXiv</w:t>
            </w:r>
            <w:proofErr w:type="spellEnd"/>
            <w:r w:rsidR="001A4F8F">
              <w:t>, Google Patents</w:t>
            </w:r>
          </w:p>
        </w:tc>
      </w:tr>
      <w:tr w:rsidR="000E2BB3" w14:paraId="4CD6610F" w14:textId="77777777">
        <w:trPr>
          <w:jc w:val="center"/>
        </w:trPr>
        <w:tc>
          <w:tcPr>
            <w:tcW w:w="5112" w:type="dxa"/>
            <w:vAlign w:val="center"/>
          </w:tcPr>
          <w:p w14:paraId="39C3399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Search Concepts (Main terms &amp; synonyms)</w:t>
            </w:r>
          </w:p>
        </w:tc>
        <w:tc>
          <w:tcPr>
            <w:tcW w:w="5112" w:type="dxa"/>
            <w:vAlign w:val="center"/>
          </w:tcPr>
          <w:p w14:paraId="1185B24C" w14:textId="77777777" w:rsidR="000E2BB3"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Why AI Governance Matters </w:t>
            </w:r>
            <w:r>
              <w:rPr>
                <w:rFonts w:ascii="Times New Roman" w:eastAsia="Times New Roman" w:hAnsi="Times New Roman" w:cs="Times New Roman"/>
              </w:rPr>
              <w:br/>
              <w:t xml:space="preserve">AI Tools in Software Development </w:t>
            </w:r>
            <w:r>
              <w:rPr>
                <w:rFonts w:ascii="Times New Roman" w:eastAsia="Times New Roman" w:hAnsi="Times New Roman" w:cs="Times New Roman"/>
              </w:rPr>
              <w:br/>
              <w:t xml:space="preserve">Data-Security Risks </w:t>
            </w:r>
            <w:r>
              <w:rPr>
                <w:rFonts w:ascii="Times New Roman" w:eastAsia="Times New Roman" w:hAnsi="Times New Roman" w:cs="Times New Roman"/>
              </w:rPr>
              <w:br/>
              <w:t xml:space="preserve">Data-Validation Risks </w:t>
            </w:r>
            <w:r>
              <w:rPr>
                <w:rFonts w:ascii="Times New Roman" w:eastAsia="Times New Roman" w:hAnsi="Times New Roman" w:cs="Times New Roman"/>
              </w:rPr>
              <w:br/>
              <w:t xml:space="preserve">Data-Security Controls </w:t>
            </w:r>
            <w:r>
              <w:rPr>
                <w:rFonts w:ascii="Times New Roman" w:eastAsia="Times New Roman" w:hAnsi="Times New Roman" w:cs="Times New Roman"/>
              </w:rPr>
              <w:br/>
              <w:t xml:space="preserve">Data-Validation Controls </w:t>
            </w:r>
            <w:r>
              <w:rPr>
                <w:rFonts w:ascii="Times New Roman" w:eastAsia="Times New Roman" w:hAnsi="Times New Roman" w:cs="Times New Roman"/>
              </w:rPr>
              <w:br/>
              <w:t xml:space="preserve">Data-Governance Tools </w:t>
            </w:r>
            <w:r>
              <w:rPr>
                <w:rFonts w:ascii="Times New Roman" w:eastAsia="Times New Roman" w:hAnsi="Times New Roman" w:cs="Times New Roman"/>
              </w:rPr>
              <w:br/>
              <w:t xml:space="preserve">Governance Frameworks and Oversight </w:t>
            </w:r>
            <w:r>
              <w:rPr>
                <w:rFonts w:ascii="Times New Roman" w:eastAsia="Times New Roman" w:hAnsi="Times New Roman" w:cs="Times New Roman"/>
              </w:rPr>
              <w:br/>
              <w:t>Regulatory Compliance and Professional Responsibility</w:t>
            </w:r>
            <w:r>
              <w:rPr>
                <w:rFonts w:ascii="Times New Roman" w:eastAsia="Times New Roman" w:hAnsi="Times New Roman" w:cs="Times New Roman"/>
              </w:rPr>
              <w:br/>
              <w:t xml:space="preserve">Governance Implementation and Effectiveness </w:t>
            </w:r>
          </w:p>
          <w:p w14:paraId="5115CFEC" w14:textId="77777777" w:rsidR="000E2BB3" w:rsidRDefault="00000000">
            <w:pPr>
              <w:spacing w:before="240" w:after="24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tc>
      </w:tr>
      <w:tr w:rsidR="000E2BB3" w14:paraId="71ED5EB8" w14:textId="77777777">
        <w:trPr>
          <w:jc w:val="center"/>
        </w:trPr>
        <w:tc>
          <w:tcPr>
            <w:tcW w:w="5112" w:type="dxa"/>
            <w:vAlign w:val="center"/>
          </w:tcPr>
          <w:p w14:paraId="57564B7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Exact Search Query (The final Boolean string used)</w:t>
            </w:r>
          </w:p>
        </w:tc>
        <w:tc>
          <w:tcPr>
            <w:tcW w:w="5112" w:type="dxa"/>
            <w:vAlign w:val="center"/>
          </w:tcPr>
          <w:p w14:paraId="249B392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("generative AI" OR "AI coding assistants") AND "software development" </w:t>
            </w:r>
          </w:p>
        </w:tc>
      </w:tr>
      <w:tr w:rsidR="000E2BB3" w14:paraId="566E8CFC" w14:textId="77777777">
        <w:trPr>
          <w:jc w:val="center"/>
        </w:trPr>
        <w:tc>
          <w:tcPr>
            <w:tcW w:w="5112" w:type="dxa"/>
            <w:vAlign w:val="center"/>
          </w:tcPr>
          <w:p w14:paraId="3A579DD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Date &amp; Filters (Date range, document type limits)</w:t>
            </w:r>
          </w:p>
        </w:tc>
        <w:tc>
          <w:tcPr>
            <w:tcW w:w="5112" w:type="dxa"/>
            <w:vAlign w:val="center"/>
          </w:tcPr>
          <w:p w14:paraId="4E4F61F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2021-2027</w:t>
            </w:r>
          </w:p>
        </w:tc>
      </w:tr>
      <w:tr w:rsidR="000E2BB3" w14:paraId="759E3613" w14:textId="77777777">
        <w:trPr>
          <w:jc w:val="center"/>
        </w:trPr>
        <w:tc>
          <w:tcPr>
            <w:tcW w:w="5112" w:type="dxa"/>
            <w:vAlign w:val="center"/>
          </w:tcPr>
          <w:p w14:paraId="6A237F3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Results Retrieved (Total count)</w:t>
            </w:r>
          </w:p>
        </w:tc>
        <w:tc>
          <w:tcPr>
            <w:tcW w:w="5112" w:type="dxa"/>
            <w:vAlign w:val="center"/>
          </w:tcPr>
          <w:p w14:paraId="6ED4D28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1267</w:t>
            </w:r>
          </w:p>
        </w:tc>
      </w:tr>
      <w:tr w:rsidR="000E2BB3" w14:paraId="4F13B61F" w14:textId="77777777">
        <w:trPr>
          <w:jc w:val="center"/>
        </w:trPr>
        <w:tc>
          <w:tcPr>
            <w:tcW w:w="5112" w:type="dxa"/>
            <w:vAlign w:val="center"/>
          </w:tcPr>
          <w:p w14:paraId="518D62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Refinement Decision (What changed and why)</w:t>
            </w:r>
          </w:p>
        </w:tc>
        <w:tc>
          <w:tcPr>
            <w:tcW w:w="5112" w:type="dxa"/>
            <w:vAlign w:val="center"/>
          </w:tcPr>
          <w:p w14:paraId="3805BC40" w14:textId="77777777" w:rsidR="000E2BB3" w:rsidRDefault="000E2BB3">
            <w:pPr>
              <w:spacing w:before="80" w:after="80"/>
              <w:rPr>
                <w:rFonts w:ascii="Times New Roman" w:eastAsia="Times New Roman" w:hAnsi="Times New Roman" w:cs="Times New Roman"/>
              </w:rPr>
            </w:pPr>
          </w:p>
        </w:tc>
      </w:tr>
    </w:tbl>
    <w:p w14:paraId="423E990E" w14:textId="77777777" w:rsidR="000E2BB3" w:rsidRDefault="00000000">
      <w:pPr>
        <w:pStyle w:val="Heading1"/>
        <w:numPr>
          <w:ilvl w:val="0"/>
          <w:numId w:val="1"/>
        </w:numPr>
        <w:rPr>
          <w:rFonts w:ascii="Times New Roman" w:eastAsia="Times New Roman" w:hAnsi="Times New Roman" w:cs="Times New Roman"/>
        </w:rPr>
      </w:pPr>
      <w:r>
        <w:rPr>
          <w:rFonts w:ascii="Times New Roman" w:eastAsia="Times New Roman" w:hAnsi="Times New Roman" w:cs="Times New Roman"/>
        </w:rPr>
        <w:t>Project Question</w:t>
      </w:r>
    </w:p>
    <w:p w14:paraId="76828719" w14:textId="77777777" w:rsidR="000E2BB3" w:rsidRDefault="000E2BB3">
      <w:pPr>
        <w:spacing w:before="200"/>
        <w:rPr>
          <w:rFonts w:ascii="Times New Roman" w:eastAsia="Times New Roman" w:hAnsi="Times New Roman" w:cs="Times New Roman"/>
        </w:rPr>
      </w:pPr>
    </w:p>
    <w:p w14:paraId="0885C232" w14:textId="77777777" w:rsidR="000E2BB3" w:rsidRDefault="00000000">
      <w:pPr>
        <w:pStyle w:val="Heading1"/>
        <w:numPr>
          <w:ilvl w:val="0"/>
          <w:numId w:val="1"/>
        </w:numPr>
        <w:rPr>
          <w:rFonts w:ascii="Times New Roman" w:eastAsia="Times New Roman" w:hAnsi="Times New Roman" w:cs="Times New Roman"/>
        </w:rPr>
      </w:pPr>
      <w:r>
        <w:rPr>
          <w:rFonts w:ascii="Times New Roman" w:eastAsia="Times New Roman" w:hAnsi="Times New Roman" w:cs="Times New Roman"/>
        </w:rPr>
        <w:t>Search log:</w:t>
      </w:r>
    </w:p>
    <w:p w14:paraId="0E77B23D" w14:textId="77777777" w:rsidR="000E2BB3" w:rsidRDefault="000E2BB3">
      <w:pPr>
        <w:rPr>
          <w:rFonts w:ascii="Times New Roman" w:eastAsia="Times New Roman" w:hAnsi="Times New Roman" w:cs="Times New Roman"/>
        </w:rPr>
      </w:pPr>
    </w:p>
    <w:tbl>
      <w:tblPr>
        <w:tblStyle w:val="a1"/>
        <w:tblW w:w="9825" w:type="dxa"/>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
        <w:gridCol w:w="1740"/>
        <w:gridCol w:w="1155"/>
        <w:gridCol w:w="1365"/>
        <w:gridCol w:w="2475"/>
        <w:gridCol w:w="2490"/>
      </w:tblGrid>
      <w:tr w:rsidR="000E2BB3" w14:paraId="5B1C4F17" w14:textId="77777777">
        <w:trPr>
          <w:trHeight w:val="323"/>
        </w:trPr>
        <w:tc>
          <w:tcPr>
            <w:tcW w:w="600" w:type="dxa"/>
            <w:shd w:val="clear" w:color="auto" w:fill="FFFF00"/>
          </w:tcPr>
          <w:p w14:paraId="20FD78DF" w14:textId="77777777" w:rsidR="000E2BB3"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1740" w:type="dxa"/>
            <w:shd w:val="clear" w:color="auto" w:fill="FFFF00"/>
          </w:tcPr>
          <w:p w14:paraId="3712CB05" w14:textId="77777777" w:rsidR="000E2BB3"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final Boolean string used</w:t>
            </w:r>
          </w:p>
        </w:tc>
        <w:tc>
          <w:tcPr>
            <w:tcW w:w="1155" w:type="dxa"/>
            <w:shd w:val="clear" w:color="auto" w:fill="FFFF00"/>
          </w:tcPr>
          <w:p w14:paraId="670347A5"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Research tool</w:t>
            </w:r>
          </w:p>
        </w:tc>
        <w:tc>
          <w:tcPr>
            <w:tcW w:w="1365" w:type="dxa"/>
            <w:shd w:val="clear" w:color="auto" w:fill="FFFF00"/>
          </w:tcPr>
          <w:p w14:paraId="03E07410"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Publisher</w:t>
            </w:r>
          </w:p>
        </w:tc>
        <w:tc>
          <w:tcPr>
            <w:tcW w:w="2475" w:type="dxa"/>
            <w:shd w:val="clear" w:color="auto" w:fill="FFFF00"/>
          </w:tcPr>
          <w:p w14:paraId="54D14B99"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Title</w:t>
            </w:r>
          </w:p>
        </w:tc>
        <w:tc>
          <w:tcPr>
            <w:tcW w:w="2490" w:type="dxa"/>
            <w:shd w:val="clear" w:color="auto" w:fill="FFFF00"/>
          </w:tcPr>
          <w:p w14:paraId="7C4E18DA"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Link</w:t>
            </w:r>
          </w:p>
        </w:tc>
      </w:tr>
      <w:tr w:rsidR="000E2BB3" w14:paraId="2CCB38E9" w14:textId="77777777">
        <w:trPr>
          <w:trHeight w:val="431"/>
        </w:trPr>
        <w:tc>
          <w:tcPr>
            <w:tcW w:w="600" w:type="dxa"/>
          </w:tcPr>
          <w:p w14:paraId="681314C6"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740" w:type="dxa"/>
          </w:tcPr>
          <w:p w14:paraId="3F10CD97"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"AI governance" AND "Risk" AND "Bank"</w:t>
            </w:r>
          </w:p>
        </w:tc>
        <w:tc>
          <w:tcPr>
            <w:tcW w:w="1155" w:type="dxa"/>
          </w:tcPr>
          <w:p w14:paraId="02ABF5A6"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Scopus</w:t>
            </w:r>
          </w:p>
        </w:tc>
        <w:tc>
          <w:tcPr>
            <w:tcW w:w="1365" w:type="dxa"/>
          </w:tcPr>
          <w:p w14:paraId="19FB81FA" w14:textId="77777777" w:rsidR="000E2BB3" w:rsidRDefault="000E2BB3">
            <w:pPr>
              <w:pBdr>
                <w:top w:val="nil"/>
                <w:left w:val="nil"/>
                <w:bottom w:val="nil"/>
                <w:right w:val="nil"/>
                <w:between w:val="nil"/>
              </w:pBdr>
              <w:spacing w:after="160" w:line="259" w:lineRule="auto"/>
              <w:rPr>
                <w:rFonts w:ascii="Times New Roman" w:eastAsia="Times New Roman" w:hAnsi="Times New Roman" w:cs="Times New Roman"/>
                <w:color w:val="000000"/>
              </w:rPr>
            </w:pPr>
          </w:p>
        </w:tc>
        <w:tc>
          <w:tcPr>
            <w:tcW w:w="2475" w:type="dxa"/>
          </w:tcPr>
          <w:p w14:paraId="60B60ECA" w14:textId="77777777" w:rsidR="000E2BB3" w:rsidRDefault="000E2BB3">
            <w:pPr>
              <w:pBdr>
                <w:top w:val="nil"/>
                <w:left w:val="nil"/>
                <w:bottom w:val="nil"/>
                <w:right w:val="nil"/>
                <w:between w:val="nil"/>
              </w:pBdr>
              <w:spacing w:after="160" w:line="259" w:lineRule="auto"/>
              <w:jc w:val="both"/>
              <w:rPr>
                <w:rFonts w:ascii="Times New Roman" w:eastAsia="Times New Roman" w:hAnsi="Times New Roman" w:cs="Times New Roman"/>
                <w:color w:val="000000"/>
              </w:rPr>
            </w:pPr>
          </w:p>
        </w:tc>
        <w:tc>
          <w:tcPr>
            <w:tcW w:w="2490" w:type="dxa"/>
          </w:tcPr>
          <w:p w14:paraId="43624A5A" w14:textId="77777777" w:rsidR="000E2BB3" w:rsidRDefault="000E2BB3">
            <w:pPr>
              <w:pBdr>
                <w:top w:val="nil"/>
                <w:left w:val="nil"/>
                <w:bottom w:val="nil"/>
                <w:right w:val="nil"/>
                <w:between w:val="nil"/>
              </w:pBdr>
              <w:spacing w:after="160" w:line="259" w:lineRule="auto"/>
              <w:jc w:val="both"/>
              <w:rPr>
                <w:rFonts w:ascii="Times New Roman" w:eastAsia="Times New Roman" w:hAnsi="Times New Roman" w:cs="Times New Roman"/>
                <w:color w:val="000000"/>
              </w:rPr>
            </w:pPr>
          </w:p>
        </w:tc>
      </w:tr>
      <w:tr w:rsidR="000E2BB3" w14:paraId="49FE6793" w14:textId="77777777">
        <w:trPr>
          <w:trHeight w:val="220"/>
        </w:trPr>
        <w:tc>
          <w:tcPr>
            <w:tcW w:w="600" w:type="dxa"/>
            <w:vMerge w:val="restart"/>
          </w:tcPr>
          <w:p w14:paraId="0B5310CC"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w:t>
            </w:r>
          </w:p>
        </w:tc>
        <w:tc>
          <w:tcPr>
            <w:tcW w:w="1740" w:type="dxa"/>
            <w:vMerge w:val="restart"/>
          </w:tcPr>
          <w:p w14:paraId="0CB826E6"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AI Governance Bank</w:t>
            </w:r>
          </w:p>
        </w:tc>
        <w:tc>
          <w:tcPr>
            <w:tcW w:w="1155" w:type="dxa"/>
            <w:vMerge w:val="restart"/>
          </w:tcPr>
          <w:p w14:paraId="0FB8EF4B"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Omni</w:t>
            </w:r>
          </w:p>
        </w:tc>
        <w:tc>
          <w:tcPr>
            <w:tcW w:w="1365" w:type="dxa"/>
          </w:tcPr>
          <w:p w14:paraId="44C0CA64"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The Risk Management Association</w:t>
            </w:r>
          </w:p>
        </w:tc>
        <w:tc>
          <w:tcPr>
            <w:tcW w:w="2475" w:type="dxa"/>
          </w:tcPr>
          <w:p w14:paraId="3321365F" w14:textId="77777777" w:rsidR="000E2BB3" w:rsidRDefault="00000000">
            <w:pPr>
              <w:pStyle w:val="Heading1"/>
              <w:spacing w:before="0"/>
              <w:jc w:val="both"/>
              <w:outlineLvl w:val="0"/>
              <w:rPr>
                <w:rFonts w:ascii="Times New Roman" w:eastAsia="Times New Roman" w:hAnsi="Times New Roman" w:cs="Times New Roman"/>
                <w:b w:val="0"/>
                <w:bCs w:val="0"/>
                <w:color w:val="000000"/>
                <w:sz w:val="22"/>
                <w:szCs w:val="22"/>
              </w:rPr>
            </w:pPr>
            <w:r>
              <w:rPr>
                <w:rFonts w:ascii="Times New Roman" w:eastAsia="Times New Roman" w:hAnsi="Times New Roman" w:cs="Times New Roman"/>
                <w:b w:val="0"/>
                <w:bCs w:val="0"/>
                <w:color w:val="000000"/>
                <w:sz w:val="22"/>
                <w:szCs w:val="22"/>
              </w:rPr>
              <w:t>Explainability Challenges Are a Growing Concern for Bank Governance of AI.</w:t>
            </w:r>
          </w:p>
          <w:p w14:paraId="1C2F9E66" w14:textId="77777777" w:rsidR="000E2BB3" w:rsidRDefault="000E2BB3">
            <w:pPr>
              <w:pBdr>
                <w:top w:val="nil"/>
                <w:left w:val="nil"/>
                <w:bottom w:val="nil"/>
                <w:right w:val="nil"/>
                <w:between w:val="nil"/>
              </w:pBdr>
              <w:spacing w:after="160" w:line="259" w:lineRule="auto"/>
              <w:jc w:val="both"/>
              <w:rPr>
                <w:rFonts w:ascii="Times New Roman" w:eastAsia="Times New Roman" w:hAnsi="Times New Roman" w:cs="Times New Roman"/>
                <w:color w:val="000000"/>
              </w:rPr>
            </w:pPr>
          </w:p>
        </w:tc>
        <w:tc>
          <w:tcPr>
            <w:tcW w:w="2490" w:type="dxa"/>
          </w:tcPr>
          <w:p w14:paraId="69DC7842" w14:textId="77777777" w:rsidR="000E2BB3" w:rsidRDefault="00000000">
            <w:pPr>
              <w:pStyle w:val="Heading1"/>
              <w:spacing w:before="0"/>
              <w:jc w:val="both"/>
              <w:outlineLvl w:val="0"/>
              <w:rPr>
                <w:rFonts w:ascii="Times New Roman" w:eastAsia="Times New Roman" w:hAnsi="Times New Roman" w:cs="Times New Roman"/>
                <w:b w:val="0"/>
                <w:bCs w:val="0"/>
                <w:color w:val="000000"/>
                <w:sz w:val="22"/>
                <w:szCs w:val="22"/>
              </w:rPr>
            </w:pPr>
            <w:hyperlink r:id="rId7">
              <w:r>
                <w:rPr>
                  <w:rFonts w:ascii="Times New Roman" w:eastAsia="Times New Roman" w:hAnsi="Times New Roman" w:cs="Times New Roman"/>
                  <w:b w:val="0"/>
                  <w:bCs w:val="0"/>
                  <w:color w:val="0563C1"/>
                  <w:sz w:val="24"/>
                  <w:szCs w:val="24"/>
                  <w:u w:val="single"/>
                </w:rPr>
                <w:t>https://go.gale.com/ps/i.do?id=GALE%7CA814376582&amp;v=2.1&amp;it=r&amp;u=otta77973&amp;p=ITBC&amp;aty=shibboleth</w:t>
              </w:r>
            </w:hyperlink>
            <w:r>
              <w:rPr>
                <w:rFonts w:ascii="Times New Roman" w:eastAsia="Times New Roman" w:hAnsi="Times New Roman" w:cs="Times New Roman"/>
                <w:b w:val="0"/>
                <w:bCs w:val="0"/>
                <w:color w:val="000000"/>
                <w:sz w:val="24"/>
                <w:szCs w:val="24"/>
              </w:rPr>
              <w:t xml:space="preserve"> </w:t>
            </w:r>
            <w:r>
              <w:rPr>
                <w:rFonts w:ascii="Times New Roman" w:eastAsia="Times New Roman" w:hAnsi="Times New Roman" w:cs="Times New Roman"/>
                <w:b w:val="0"/>
                <w:bCs w:val="0"/>
                <w:color w:val="000000"/>
                <w:sz w:val="22"/>
                <w:szCs w:val="22"/>
              </w:rPr>
              <w:t xml:space="preserve"> </w:t>
            </w:r>
          </w:p>
        </w:tc>
      </w:tr>
      <w:tr w:rsidR="000E2BB3" w14:paraId="4210D2F4" w14:textId="77777777">
        <w:trPr>
          <w:trHeight w:val="1254"/>
        </w:trPr>
        <w:tc>
          <w:tcPr>
            <w:tcW w:w="600" w:type="dxa"/>
            <w:vMerge/>
          </w:tcPr>
          <w:p w14:paraId="3FD845F3" w14:textId="77777777" w:rsidR="000E2BB3" w:rsidRDefault="000E2BB3">
            <w:pPr>
              <w:pBdr>
                <w:top w:val="nil"/>
                <w:left w:val="nil"/>
                <w:bottom w:val="nil"/>
                <w:right w:val="nil"/>
                <w:between w:val="nil"/>
              </w:pBdr>
              <w:rPr>
                <w:rFonts w:ascii="Times New Roman" w:eastAsia="Times New Roman" w:hAnsi="Times New Roman" w:cs="Times New Roman"/>
                <w:color w:val="000000"/>
              </w:rPr>
            </w:pPr>
          </w:p>
        </w:tc>
        <w:tc>
          <w:tcPr>
            <w:tcW w:w="1740" w:type="dxa"/>
            <w:vMerge/>
          </w:tcPr>
          <w:p w14:paraId="6700430E" w14:textId="77777777" w:rsidR="000E2BB3" w:rsidRDefault="000E2BB3">
            <w:pPr>
              <w:pBdr>
                <w:top w:val="nil"/>
                <w:left w:val="nil"/>
                <w:bottom w:val="nil"/>
                <w:right w:val="nil"/>
                <w:between w:val="nil"/>
              </w:pBdr>
              <w:rPr>
                <w:rFonts w:ascii="Times New Roman" w:eastAsia="Times New Roman" w:hAnsi="Times New Roman" w:cs="Times New Roman"/>
                <w:color w:val="000000"/>
              </w:rPr>
            </w:pPr>
          </w:p>
        </w:tc>
        <w:tc>
          <w:tcPr>
            <w:tcW w:w="1155" w:type="dxa"/>
            <w:vMerge/>
          </w:tcPr>
          <w:p w14:paraId="101970BE" w14:textId="77777777" w:rsidR="000E2BB3" w:rsidRDefault="000E2BB3">
            <w:pPr>
              <w:pBdr>
                <w:top w:val="nil"/>
                <w:left w:val="nil"/>
                <w:bottom w:val="nil"/>
                <w:right w:val="nil"/>
                <w:between w:val="nil"/>
              </w:pBdr>
              <w:jc w:val="center"/>
              <w:rPr>
                <w:rFonts w:ascii="Times New Roman" w:eastAsia="Times New Roman" w:hAnsi="Times New Roman" w:cs="Times New Roman"/>
                <w:color w:val="000000"/>
              </w:rPr>
            </w:pPr>
          </w:p>
        </w:tc>
        <w:tc>
          <w:tcPr>
            <w:tcW w:w="1365" w:type="dxa"/>
          </w:tcPr>
          <w:p w14:paraId="3B06D7C8"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Journal of AI, Robotics &amp; Workplace Automation, 2025-01, Vol.4 (1), p.8-24</w:t>
            </w:r>
          </w:p>
        </w:tc>
        <w:tc>
          <w:tcPr>
            <w:tcW w:w="2475" w:type="dxa"/>
          </w:tcPr>
          <w:p w14:paraId="1090D453" w14:textId="77777777" w:rsidR="000E2BB3" w:rsidRDefault="00000000">
            <w:pPr>
              <w:pStyle w:val="Heading1"/>
              <w:spacing w:before="0"/>
              <w:jc w:val="both"/>
              <w:outlineLvl w:val="0"/>
              <w:rPr>
                <w:rFonts w:ascii="Times New Roman" w:eastAsia="Times New Roman" w:hAnsi="Times New Roman" w:cs="Times New Roman"/>
                <w:b w:val="0"/>
                <w:bCs w:val="0"/>
                <w:color w:val="000000"/>
                <w:sz w:val="22"/>
                <w:szCs w:val="22"/>
              </w:rPr>
            </w:pPr>
            <w:r>
              <w:rPr>
                <w:rFonts w:ascii="Times New Roman" w:eastAsia="Times New Roman" w:hAnsi="Times New Roman" w:cs="Times New Roman"/>
                <w:b w:val="0"/>
                <w:bCs w:val="0"/>
                <w:color w:val="000000"/>
                <w:sz w:val="22"/>
                <w:szCs w:val="22"/>
              </w:rPr>
              <w:t>Artificial intelligence in central banks: Governance and implementation</w:t>
            </w:r>
          </w:p>
          <w:p w14:paraId="1F2E1E44" w14:textId="77777777" w:rsidR="000E2BB3" w:rsidRDefault="000E2BB3">
            <w:pPr>
              <w:pStyle w:val="Heading1"/>
              <w:spacing w:before="0"/>
              <w:jc w:val="both"/>
              <w:outlineLvl w:val="0"/>
              <w:rPr>
                <w:rFonts w:ascii="Times New Roman" w:eastAsia="Times New Roman" w:hAnsi="Times New Roman" w:cs="Times New Roman"/>
                <w:b w:val="0"/>
                <w:bCs w:val="0"/>
                <w:color w:val="000000"/>
                <w:sz w:val="22"/>
                <w:szCs w:val="22"/>
              </w:rPr>
            </w:pPr>
          </w:p>
        </w:tc>
        <w:tc>
          <w:tcPr>
            <w:tcW w:w="2490" w:type="dxa"/>
          </w:tcPr>
          <w:p w14:paraId="474BCD53" w14:textId="77777777" w:rsidR="000E2BB3" w:rsidRDefault="00000000">
            <w:pPr>
              <w:pStyle w:val="Heading1"/>
              <w:spacing w:before="0"/>
              <w:jc w:val="both"/>
              <w:outlineLvl w:val="0"/>
              <w:rPr>
                <w:rFonts w:ascii="Times New Roman" w:eastAsia="Times New Roman" w:hAnsi="Times New Roman" w:cs="Times New Roman"/>
                <w:b w:val="0"/>
                <w:bCs w:val="0"/>
                <w:color w:val="0563C1"/>
                <w:sz w:val="24"/>
                <w:szCs w:val="24"/>
                <w:u w:val="single"/>
              </w:rPr>
            </w:pPr>
            <w:hyperlink r:id="rId8">
              <w:r>
                <w:rPr>
                  <w:rFonts w:ascii="Times New Roman" w:eastAsia="Times New Roman" w:hAnsi="Times New Roman" w:cs="Times New Roman"/>
                  <w:b w:val="0"/>
                  <w:bCs w:val="0"/>
                  <w:color w:val="1155CC"/>
                  <w:sz w:val="22"/>
                  <w:szCs w:val="22"/>
                  <w:u w:val="single"/>
                </w:rPr>
                <w:t xml:space="preserve">Artificial intelligence in central banks: Governance and implementation | </w:t>
              </w:r>
              <w:proofErr w:type="spellStart"/>
              <w:r>
                <w:rPr>
                  <w:rFonts w:ascii="Times New Roman" w:eastAsia="Times New Roman" w:hAnsi="Times New Roman" w:cs="Times New Roman"/>
                  <w:b w:val="0"/>
                  <w:bCs w:val="0"/>
                  <w:color w:val="1155CC"/>
                  <w:sz w:val="22"/>
                  <w:szCs w:val="22"/>
                  <w:u w:val="single"/>
                </w:rPr>
                <w:t>HSTalks</w:t>
              </w:r>
              <w:proofErr w:type="spellEnd"/>
            </w:hyperlink>
            <w:r>
              <w:rPr>
                <w:rFonts w:ascii="Times New Roman" w:eastAsia="Times New Roman" w:hAnsi="Times New Roman" w:cs="Times New Roman"/>
                <w:b w:val="0"/>
                <w:bCs w:val="0"/>
                <w:color w:val="000000"/>
                <w:sz w:val="22"/>
                <w:szCs w:val="22"/>
              </w:rPr>
              <w:t xml:space="preserve"> </w:t>
            </w:r>
            <w:r>
              <w:rPr>
                <w:rFonts w:ascii="Times New Roman" w:eastAsia="Times New Roman" w:hAnsi="Times New Roman" w:cs="Times New Roman"/>
                <w:b w:val="0"/>
                <w:bCs w:val="0"/>
                <w:color w:val="0563C1"/>
                <w:sz w:val="24"/>
                <w:szCs w:val="24"/>
                <w:u w:val="single"/>
              </w:rPr>
              <w:t xml:space="preserve"> </w:t>
            </w:r>
          </w:p>
        </w:tc>
      </w:tr>
      <w:tr w:rsidR="000E2BB3" w14:paraId="12877A5E" w14:textId="77777777">
        <w:trPr>
          <w:trHeight w:val="2041"/>
        </w:trPr>
        <w:tc>
          <w:tcPr>
            <w:tcW w:w="600" w:type="dxa"/>
            <w:vMerge w:val="restart"/>
          </w:tcPr>
          <w:p w14:paraId="1A79A067"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740" w:type="dxa"/>
            <w:vMerge w:val="restart"/>
          </w:tcPr>
          <w:p w14:paraId="470B4704"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AI governance tool in Bank risk</w:t>
            </w:r>
          </w:p>
        </w:tc>
        <w:tc>
          <w:tcPr>
            <w:tcW w:w="1155" w:type="dxa"/>
            <w:vMerge w:val="restart"/>
          </w:tcPr>
          <w:p w14:paraId="16B035C1" w14:textId="77777777" w:rsidR="000E2BB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Google</w:t>
            </w:r>
          </w:p>
        </w:tc>
        <w:tc>
          <w:tcPr>
            <w:tcW w:w="1365" w:type="dxa"/>
          </w:tcPr>
          <w:p w14:paraId="010AE3AA"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Office of the Superintendent of Financial Institutions</w:t>
            </w:r>
          </w:p>
        </w:tc>
        <w:tc>
          <w:tcPr>
            <w:tcW w:w="2475" w:type="dxa"/>
          </w:tcPr>
          <w:p w14:paraId="19CCAD3A"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r>
              <w:rPr>
                <w:rFonts w:ascii="Times New Roman" w:eastAsia="Times New Roman" w:hAnsi="Times New Roman" w:cs="Times New Roman"/>
              </w:rPr>
              <w:t>OSFI-FCAC Risk Report - AI Uses and Risks at Federally Regulated Financial Institutions</w:t>
            </w:r>
          </w:p>
        </w:tc>
        <w:tc>
          <w:tcPr>
            <w:tcW w:w="2490" w:type="dxa"/>
          </w:tcPr>
          <w:p w14:paraId="5C1E53F3"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hyperlink r:id="rId9">
              <w:r>
                <w:rPr>
                  <w:rFonts w:ascii="Times New Roman" w:eastAsia="Times New Roman" w:hAnsi="Times New Roman" w:cs="Times New Roman"/>
                  <w:color w:val="1155CC"/>
                  <w:u w:val="single"/>
                </w:rPr>
                <w:t>https://www.osfi-bsif.gc.ca/en/about-osfi/reports-publications/osfi-fcac-risk-report-ai-uses-risks-federally-regulated-financial-institutions</w:t>
              </w:r>
            </w:hyperlink>
            <w:r>
              <w:rPr>
                <w:rFonts w:ascii="Times New Roman" w:eastAsia="Times New Roman" w:hAnsi="Times New Roman" w:cs="Times New Roman"/>
              </w:rPr>
              <w:t xml:space="preserve"> </w:t>
            </w:r>
          </w:p>
        </w:tc>
      </w:tr>
      <w:tr w:rsidR="000E2BB3" w14:paraId="353B662A" w14:textId="77777777">
        <w:trPr>
          <w:trHeight w:val="220"/>
        </w:trPr>
        <w:tc>
          <w:tcPr>
            <w:tcW w:w="600" w:type="dxa"/>
            <w:vMerge/>
          </w:tcPr>
          <w:p w14:paraId="726E254A" w14:textId="77777777" w:rsidR="000E2BB3" w:rsidRDefault="000E2BB3">
            <w:pPr>
              <w:pBdr>
                <w:top w:val="nil"/>
                <w:left w:val="nil"/>
                <w:bottom w:val="nil"/>
                <w:right w:val="nil"/>
                <w:between w:val="nil"/>
              </w:pBdr>
              <w:rPr>
                <w:rFonts w:ascii="Times New Roman" w:eastAsia="Times New Roman" w:hAnsi="Times New Roman" w:cs="Times New Roman"/>
                <w:color w:val="000000"/>
              </w:rPr>
            </w:pPr>
          </w:p>
        </w:tc>
        <w:tc>
          <w:tcPr>
            <w:tcW w:w="1740" w:type="dxa"/>
            <w:vMerge/>
          </w:tcPr>
          <w:p w14:paraId="06996A1E" w14:textId="77777777" w:rsidR="000E2BB3" w:rsidRDefault="000E2BB3">
            <w:pPr>
              <w:pBdr>
                <w:top w:val="nil"/>
                <w:left w:val="nil"/>
                <w:bottom w:val="nil"/>
                <w:right w:val="nil"/>
                <w:between w:val="nil"/>
              </w:pBdr>
              <w:rPr>
                <w:rFonts w:ascii="Times New Roman" w:eastAsia="Times New Roman" w:hAnsi="Times New Roman" w:cs="Times New Roman"/>
                <w:color w:val="000000"/>
              </w:rPr>
            </w:pPr>
          </w:p>
        </w:tc>
        <w:tc>
          <w:tcPr>
            <w:tcW w:w="1155" w:type="dxa"/>
            <w:vMerge/>
          </w:tcPr>
          <w:p w14:paraId="4688B978" w14:textId="77777777" w:rsidR="000E2BB3" w:rsidRDefault="000E2BB3">
            <w:pPr>
              <w:pBdr>
                <w:top w:val="nil"/>
                <w:left w:val="nil"/>
                <w:bottom w:val="nil"/>
                <w:right w:val="nil"/>
                <w:between w:val="nil"/>
              </w:pBdr>
              <w:rPr>
                <w:rFonts w:ascii="Times New Roman" w:eastAsia="Times New Roman" w:hAnsi="Times New Roman" w:cs="Times New Roman"/>
                <w:color w:val="000000"/>
              </w:rPr>
            </w:pPr>
          </w:p>
        </w:tc>
        <w:tc>
          <w:tcPr>
            <w:tcW w:w="1365" w:type="dxa"/>
          </w:tcPr>
          <w:p w14:paraId="06400FC2" w14:textId="77777777" w:rsidR="000E2BB3" w:rsidRDefault="00000000">
            <w:pPr>
              <w:spacing w:before="80" w:after="80" w:line="259" w:lineRule="auto"/>
              <w:rPr>
                <w:rFonts w:ascii="Times New Roman" w:eastAsia="Times New Roman" w:hAnsi="Times New Roman" w:cs="Times New Roman"/>
                <w:color w:val="000000"/>
              </w:rPr>
            </w:pPr>
            <w:proofErr w:type="spellStart"/>
            <w:r>
              <w:rPr>
                <w:rFonts w:ascii="Times New Roman" w:eastAsia="Times New Roman" w:hAnsi="Times New Roman" w:cs="Times New Roman"/>
              </w:rPr>
              <w:t>Backbase</w:t>
            </w:r>
            <w:proofErr w:type="spellEnd"/>
            <w:r>
              <w:rPr>
                <w:rFonts w:ascii="Times New Roman" w:eastAsia="Times New Roman" w:hAnsi="Times New Roman" w:cs="Times New Roman"/>
              </w:rPr>
              <w:t xml:space="preserve"> </w:t>
            </w:r>
          </w:p>
        </w:tc>
        <w:tc>
          <w:tcPr>
            <w:tcW w:w="2475" w:type="dxa"/>
          </w:tcPr>
          <w:p w14:paraId="62A92CD0" w14:textId="77777777" w:rsidR="000E2BB3" w:rsidRDefault="00000000">
            <w:pPr>
              <w:spacing w:before="80" w:after="80" w:line="259" w:lineRule="auto"/>
              <w:rPr>
                <w:rFonts w:ascii="Times New Roman" w:eastAsia="Times New Roman" w:hAnsi="Times New Roman" w:cs="Times New Roman"/>
                <w:color w:val="000000"/>
              </w:rPr>
            </w:pPr>
            <w:r>
              <w:rPr>
                <w:rFonts w:ascii="Times New Roman" w:eastAsia="Times New Roman" w:hAnsi="Times New Roman" w:cs="Times New Roman"/>
              </w:rPr>
              <w:t>AI governance in banking: the complete guide for 2026</w:t>
            </w:r>
          </w:p>
        </w:tc>
        <w:tc>
          <w:tcPr>
            <w:tcW w:w="2490" w:type="dxa"/>
          </w:tcPr>
          <w:p w14:paraId="0F290F44"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hyperlink r:id="rId10">
              <w:r>
                <w:rPr>
                  <w:rFonts w:ascii="Times New Roman" w:eastAsia="Times New Roman" w:hAnsi="Times New Roman" w:cs="Times New Roman"/>
                  <w:color w:val="1155CC"/>
                  <w:u w:val="single"/>
                </w:rPr>
                <w:t>https://www.backbase.com/blog/ai-governance-in-banking</w:t>
              </w:r>
            </w:hyperlink>
            <w:r>
              <w:rPr>
                <w:rFonts w:ascii="Times New Roman" w:eastAsia="Times New Roman" w:hAnsi="Times New Roman" w:cs="Times New Roman"/>
              </w:rPr>
              <w:t xml:space="preserve"> </w:t>
            </w:r>
          </w:p>
        </w:tc>
      </w:tr>
      <w:tr w:rsidR="000E2BB3" w14:paraId="20F49ECD" w14:textId="77777777">
        <w:tc>
          <w:tcPr>
            <w:tcW w:w="600" w:type="dxa"/>
          </w:tcPr>
          <w:p w14:paraId="42CB3785"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4</w:t>
            </w:r>
          </w:p>
        </w:tc>
        <w:tc>
          <w:tcPr>
            <w:tcW w:w="1740" w:type="dxa"/>
          </w:tcPr>
          <w:p w14:paraId="091DB021"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Artificial intelligence in central banks: Governance and implementation</w:t>
            </w:r>
          </w:p>
        </w:tc>
        <w:tc>
          <w:tcPr>
            <w:tcW w:w="1155" w:type="dxa"/>
          </w:tcPr>
          <w:p w14:paraId="52FA880D" w14:textId="77777777" w:rsidR="000E2BB3" w:rsidRDefault="00000000">
            <w:pP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rPr>
              <w:t>Google</w:t>
            </w:r>
          </w:p>
        </w:tc>
        <w:tc>
          <w:tcPr>
            <w:tcW w:w="1365" w:type="dxa"/>
          </w:tcPr>
          <w:p w14:paraId="70423F0D"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Bank for International Settlements</w:t>
            </w:r>
          </w:p>
        </w:tc>
        <w:tc>
          <w:tcPr>
            <w:tcW w:w="2475" w:type="dxa"/>
          </w:tcPr>
          <w:p w14:paraId="3879B7E1"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r>
              <w:rPr>
                <w:rFonts w:ascii="Times New Roman" w:eastAsia="Times New Roman" w:hAnsi="Times New Roman" w:cs="Times New Roman"/>
              </w:rPr>
              <w:t>Governance and implementation of artificial intelligence in central banks</w:t>
            </w:r>
          </w:p>
        </w:tc>
        <w:tc>
          <w:tcPr>
            <w:tcW w:w="2490" w:type="dxa"/>
          </w:tcPr>
          <w:p w14:paraId="30900AA1"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hyperlink r:id="rId11">
              <w:r>
                <w:rPr>
                  <w:rFonts w:ascii="Times New Roman" w:eastAsia="Times New Roman" w:hAnsi="Times New Roman" w:cs="Times New Roman"/>
                  <w:color w:val="1155CC"/>
                  <w:u w:val="single"/>
                </w:rPr>
                <w:t>https://www.bis.org/publications/ifc-report-18-governance-and-implementation-artificial-intelligence-central-banks.pdf</w:t>
              </w:r>
            </w:hyperlink>
            <w:r>
              <w:rPr>
                <w:rFonts w:ascii="Times New Roman" w:eastAsia="Times New Roman" w:hAnsi="Times New Roman" w:cs="Times New Roman"/>
              </w:rPr>
              <w:t xml:space="preserve"> </w:t>
            </w:r>
          </w:p>
        </w:tc>
      </w:tr>
      <w:tr w:rsidR="000E2BB3" w14:paraId="7CD99E7D" w14:textId="77777777">
        <w:tc>
          <w:tcPr>
            <w:tcW w:w="600" w:type="dxa"/>
          </w:tcPr>
          <w:p w14:paraId="637CEFEB"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5</w:t>
            </w:r>
          </w:p>
        </w:tc>
        <w:tc>
          <w:tcPr>
            <w:tcW w:w="1740" w:type="dxa"/>
          </w:tcPr>
          <w:p w14:paraId="4B0CF538"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AI Governance Tool</w:t>
            </w:r>
          </w:p>
        </w:tc>
        <w:tc>
          <w:tcPr>
            <w:tcW w:w="1155" w:type="dxa"/>
          </w:tcPr>
          <w:p w14:paraId="4B283FEF"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Omni</w:t>
            </w:r>
          </w:p>
        </w:tc>
        <w:tc>
          <w:tcPr>
            <w:tcW w:w="1365" w:type="dxa"/>
          </w:tcPr>
          <w:p w14:paraId="62297E73"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Book</w:t>
            </w:r>
          </w:p>
        </w:tc>
        <w:tc>
          <w:tcPr>
            <w:tcW w:w="2475" w:type="dxa"/>
          </w:tcPr>
          <w:p w14:paraId="6CE4FEAE" w14:textId="77777777" w:rsidR="000E2BB3" w:rsidRDefault="00000000">
            <w:pPr>
              <w:spacing w:after="160" w:line="259" w:lineRule="auto"/>
              <w:jc w:val="both"/>
              <w:rPr>
                <w:rFonts w:ascii="Times New Roman" w:eastAsia="Times New Roman" w:hAnsi="Times New Roman" w:cs="Times New Roman"/>
              </w:rPr>
            </w:pPr>
            <w:r>
              <w:rPr>
                <w:rFonts w:ascii="Times New Roman" w:eastAsia="Times New Roman" w:hAnsi="Times New Roman" w:cs="Times New Roman"/>
              </w:rPr>
              <w:t xml:space="preserve">Data governance in AI, fintech and </w:t>
            </w:r>
            <w:proofErr w:type="spellStart"/>
            <w:proofErr w:type="gramStart"/>
            <w:r>
              <w:rPr>
                <w:rFonts w:ascii="Times New Roman" w:eastAsia="Times New Roman" w:hAnsi="Times New Roman" w:cs="Times New Roman"/>
              </w:rPr>
              <w:t>legaltech</w:t>
            </w:r>
            <w:proofErr w:type="spellEnd"/>
            <w:r>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law and regulation in the financial sector</w:t>
            </w:r>
          </w:p>
          <w:p w14:paraId="280B518C" w14:textId="77777777" w:rsidR="000E2BB3" w:rsidRDefault="00000000">
            <w:pPr>
              <w:spacing w:after="160" w:line="259" w:lineRule="auto"/>
              <w:jc w:val="both"/>
              <w:rPr>
                <w:rFonts w:ascii="Times New Roman" w:eastAsia="Times New Roman" w:hAnsi="Times New Roman" w:cs="Times New Roman"/>
              </w:rPr>
            </w:pPr>
            <w:r>
              <w:rPr>
                <w:rFonts w:ascii="Times New Roman" w:eastAsia="Times New Roman" w:hAnsi="Times New Roman" w:cs="Times New Roman"/>
              </w:rPr>
              <w:t xml:space="preserve">Lee, Joseph, editor.; </w:t>
            </w:r>
            <w:proofErr w:type="spellStart"/>
            <w:r>
              <w:rPr>
                <w:rFonts w:ascii="Times New Roman" w:eastAsia="Times New Roman" w:hAnsi="Times New Roman" w:cs="Times New Roman"/>
              </w:rPr>
              <w:t>Darbellay</w:t>
            </w:r>
            <w:proofErr w:type="spellEnd"/>
            <w:r>
              <w:rPr>
                <w:rFonts w:ascii="Times New Roman" w:eastAsia="Times New Roman" w:hAnsi="Times New Roman" w:cs="Times New Roman"/>
              </w:rPr>
              <w:t>, Aline, editor.; Edward Elgar Publishing, publisher.</w:t>
            </w:r>
          </w:p>
          <w:p w14:paraId="554436C2" w14:textId="77777777" w:rsidR="000E2BB3" w:rsidRDefault="00000000">
            <w:pPr>
              <w:spacing w:after="160" w:line="259" w:lineRule="auto"/>
              <w:jc w:val="both"/>
              <w:rPr>
                <w:rFonts w:ascii="Times New Roman" w:eastAsia="Times New Roman" w:hAnsi="Times New Roman" w:cs="Times New Roman"/>
              </w:rPr>
            </w:pPr>
            <w:r>
              <w:rPr>
                <w:rFonts w:ascii="Times New Roman" w:eastAsia="Times New Roman" w:hAnsi="Times New Roman" w:cs="Times New Roman"/>
              </w:rPr>
              <w:t>2022</w:t>
            </w:r>
          </w:p>
          <w:p w14:paraId="34F59495" w14:textId="77777777" w:rsidR="000E2BB3" w:rsidRDefault="000E2BB3">
            <w:pPr>
              <w:pBdr>
                <w:top w:val="nil"/>
                <w:left w:val="nil"/>
                <w:bottom w:val="nil"/>
                <w:right w:val="nil"/>
                <w:between w:val="nil"/>
              </w:pBdr>
              <w:spacing w:after="160" w:line="259" w:lineRule="auto"/>
              <w:jc w:val="both"/>
              <w:rPr>
                <w:rFonts w:ascii="Times New Roman" w:eastAsia="Times New Roman" w:hAnsi="Times New Roman" w:cs="Times New Roman"/>
              </w:rPr>
            </w:pPr>
          </w:p>
        </w:tc>
        <w:tc>
          <w:tcPr>
            <w:tcW w:w="2490" w:type="dxa"/>
          </w:tcPr>
          <w:p w14:paraId="4C51E561"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hyperlink r:id="rId12">
              <w:r>
                <w:rPr>
                  <w:rFonts w:ascii="Times New Roman" w:eastAsia="Times New Roman" w:hAnsi="Times New Roman" w:cs="Times New Roman"/>
                  <w:color w:val="1155CC"/>
                  <w:u w:val="single"/>
                </w:rPr>
                <w:t>https://ocul-uo.primo.exlibrisgroup.com/discovery/fulldisplay?docid=alma991045276650705161&amp;context=L&amp;vid=01OCUL_UO:UO_DEFAULT&amp;lang=en&amp;search_scope=OCULDiscoveryNetworkNew&amp;adaptor=Local%20Search%20Engine&amp;tab=OCULDiscoveryNetwork&amp;query=any,contains,AI%20Governance%20Tool&amp;offset=0</w:t>
              </w:r>
            </w:hyperlink>
            <w:r>
              <w:rPr>
                <w:rFonts w:ascii="Times New Roman" w:eastAsia="Times New Roman" w:hAnsi="Times New Roman" w:cs="Times New Roman"/>
              </w:rPr>
              <w:t xml:space="preserve"> </w:t>
            </w:r>
          </w:p>
        </w:tc>
      </w:tr>
      <w:tr w:rsidR="000E2BB3" w14:paraId="328E3CB1" w14:textId="77777777">
        <w:tc>
          <w:tcPr>
            <w:tcW w:w="600" w:type="dxa"/>
          </w:tcPr>
          <w:p w14:paraId="43A222F6"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lastRenderedPageBreak/>
              <w:t>6</w:t>
            </w:r>
          </w:p>
        </w:tc>
        <w:tc>
          <w:tcPr>
            <w:tcW w:w="1740" w:type="dxa"/>
          </w:tcPr>
          <w:p w14:paraId="3E241374" w14:textId="77777777" w:rsidR="000E2BB3" w:rsidRDefault="00000000">
            <w:pP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Artificial intelligence in central banks: Governance and implementation</w:t>
            </w:r>
          </w:p>
        </w:tc>
        <w:tc>
          <w:tcPr>
            <w:tcW w:w="1155" w:type="dxa"/>
          </w:tcPr>
          <w:p w14:paraId="090B2C0D"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Google</w:t>
            </w:r>
          </w:p>
        </w:tc>
        <w:tc>
          <w:tcPr>
            <w:tcW w:w="1365" w:type="dxa"/>
          </w:tcPr>
          <w:p w14:paraId="0CA59936" w14:textId="77777777" w:rsidR="000E2BB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rPr>
              <w:t xml:space="preserve">Irving Fisher Committee on Central Bank Statistics </w:t>
            </w:r>
          </w:p>
        </w:tc>
        <w:tc>
          <w:tcPr>
            <w:tcW w:w="2475" w:type="dxa"/>
          </w:tcPr>
          <w:p w14:paraId="47F35FB8" w14:textId="77777777" w:rsidR="000E2BB3" w:rsidRDefault="00000000">
            <w:pPr>
              <w:spacing w:after="160" w:line="259" w:lineRule="auto"/>
              <w:jc w:val="both"/>
              <w:rPr>
                <w:rFonts w:ascii="Times New Roman" w:eastAsia="Times New Roman" w:hAnsi="Times New Roman" w:cs="Times New Roman"/>
              </w:rPr>
            </w:pPr>
            <w:r>
              <w:rPr>
                <w:rFonts w:ascii="Times New Roman" w:eastAsia="Times New Roman" w:hAnsi="Times New Roman" w:cs="Times New Roman"/>
              </w:rPr>
              <w:t>Issues in data governance. Irving Fisher Committee on Central Bank Statistics</w:t>
            </w:r>
          </w:p>
          <w:p w14:paraId="5EABEB09" w14:textId="77777777" w:rsidR="000E2BB3" w:rsidRDefault="00000000">
            <w:pPr>
              <w:spacing w:after="160" w:line="259" w:lineRule="auto"/>
              <w:jc w:val="both"/>
              <w:rPr>
                <w:rFonts w:ascii="Times New Roman" w:eastAsia="Times New Roman" w:hAnsi="Times New Roman" w:cs="Times New Roman"/>
              </w:rPr>
            </w:pPr>
            <w:r>
              <w:rPr>
                <w:rFonts w:ascii="Times New Roman" w:eastAsia="Times New Roman" w:hAnsi="Times New Roman" w:cs="Times New Roman"/>
              </w:rPr>
              <w:t>(IFC), (July 2021). IFC Bulletin 54</w:t>
            </w:r>
          </w:p>
          <w:p w14:paraId="0464A645" w14:textId="77777777" w:rsidR="000E2BB3" w:rsidRDefault="000E2BB3">
            <w:pPr>
              <w:spacing w:after="160" w:line="259" w:lineRule="auto"/>
              <w:jc w:val="both"/>
              <w:rPr>
                <w:rFonts w:ascii="Times New Roman" w:eastAsia="Times New Roman" w:hAnsi="Times New Roman" w:cs="Times New Roman"/>
              </w:rPr>
            </w:pPr>
          </w:p>
          <w:p w14:paraId="244B4B0F" w14:textId="77777777" w:rsidR="000E2BB3" w:rsidRDefault="000E2BB3">
            <w:pPr>
              <w:pBdr>
                <w:top w:val="nil"/>
                <w:left w:val="nil"/>
                <w:bottom w:val="nil"/>
                <w:right w:val="nil"/>
                <w:between w:val="nil"/>
              </w:pBdr>
              <w:spacing w:after="160" w:line="259" w:lineRule="auto"/>
              <w:jc w:val="both"/>
              <w:rPr>
                <w:rFonts w:ascii="Times New Roman" w:eastAsia="Times New Roman" w:hAnsi="Times New Roman" w:cs="Times New Roman"/>
              </w:rPr>
            </w:pPr>
          </w:p>
        </w:tc>
        <w:tc>
          <w:tcPr>
            <w:tcW w:w="2490" w:type="dxa"/>
          </w:tcPr>
          <w:p w14:paraId="778B3572" w14:textId="77777777" w:rsidR="000E2BB3" w:rsidRDefault="00000000">
            <w:pPr>
              <w:pBdr>
                <w:top w:val="nil"/>
                <w:left w:val="nil"/>
                <w:bottom w:val="nil"/>
                <w:right w:val="nil"/>
                <w:between w:val="nil"/>
              </w:pBdr>
              <w:spacing w:after="160" w:line="259" w:lineRule="auto"/>
              <w:jc w:val="both"/>
              <w:rPr>
                <w:rFonts w:ascii="Times New Roman" w:eastAsia="Times New Roman" w:hAnsi="Times New Roman" w:cs="Times New Roman"/>
                <w:color w:val="000000"/>
              </w:rPr>
            </w:pPr>
            <w:hyperlink r:id="rId13">
              <w:r>
                <w:rPr>
                  <w:rFonts w:ascii="Times New Roman" w:eastAsia="Times New Roman" w:hAnsi="Times New Roman" w:cs="Times New Roman"/>
                  <w:color w:val="1155CC"/>
                  <w:u w:val="single"/>
                </w:rPr>
                <w:t>https://www.bis.org/publications/ifc-bulletin-54-issues-data-governance.pdf</w:t>
              </w:r>
            </w:hyperlink>
            <w:r>
              <w:rPr>
                <w:rFonts w:ascii="Times New Roman" w:eastAsia="Times New Roman" w:hAnsi="Times New Roman" w:cs="Times New Roman"/>
              </w:rPr>
              <w:t xml:space="preserve"> </w:t>
            </w:r>
          </w:p>
        </w:tc>
      </w:tr>
      <w:tr w:rsidR="000E2BB3" w14:paraId="113D1321" w14:textId="77777777">
        <w:tc>
          <w:tcPr>
            <w:tcW w:w="600" w:type="dxa"/>
            <w:vAlign w:val="center"/>
          </w:tcPr>
          <w:p w14:paraId="15BB29E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w:t>
            </w:r>
          </w:p>
        </w:tc>
        <w:tc>
          <w:tcPr>
            <w:tcW w:w="1740" w:type="dxa"/>
            <w:vAlign w:val="center"/>
          </w:tcPr>
          <w:p w14:paraId="4842F6A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(framework OR "structured review")</w:t>
            </w:r>
          </w:p>
        </w:tc>
        <w:tc>
          <w:tcPr>
            <w:tcW w:w="1155" w:type="dxa"/>
            <w:vAlign w:val="center"/>
          </w:tcPr>
          <w:p w14:paraId="4BFC606B"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2C0BD23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Elsevier</w:t>
            </w:r>
          </w:p>
        </w:tc>
        <w:tc>
          <w:tcPr>
            <w:tcW w:w="2475" w:type="dxa"/>
            <w:vAlign w:val="center"/>
          </w:tcPr>
          <w:p w14:paraId="5C8C970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governance: A conceptual framework, structured review, and research agenda</w:t>
            </w:r>
          </w:p>
        </w:tc>
        <w:tc>
          <w:tcPr>
            <w:tcW w:w="2490" w:type="dxa"/>
            <w:vAlign w:val="center"/>
          </w:tcPr>
          <w:p w14:paraId="188A6B24" w14:textId="77777777" w:rsidR="000E2BB3" w:rsidRDefault="00000000">
            <w:pPr>
              <w:spacing w:before="80" w:after="80"/>
              <w:rPr>
                <w:rFonts w:ascii="Times New Roman" w:eastAsia="Times New Roman" w:hAnsi="Times New Roman" w:cs="Times New Roman"/>
              </w:rPr>
            </w:pPr>
            <w:hyperlink r:id="rId14">
              <w:r>
                <w:rPr>
                  <w:rFonts w:ascii="Times New Roman" w:eastAsia="Times New Roman" w:hAnsi="Times New Roman" w:cs="Times New Roman"/>
                  <w:color w:val="1155CC"/>
                  <w:u w:val="single"/>
                </w:rPr>
                <w:t>https://doi.org/10.1016/j.ijinfomgt.2019.07.008</w:t>
              </w:r>
            </w:hyperlink>
          </w:p>
        </w:tc>
      </w:tr>
      <w:tr w:rsidR="000E2BB3" w14:paraId="067EB921" w14:textId="77777777">
        <w:tc>
          <w:tcPr>
            <w:tcW w:w="600" w:type="dxa"/>
            <w:vAlign w:val="center"/>
          </w:tcPr>
          <w:p w14:paraId="6F13A4A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8</w:t>
            </w:r>
          </w:p>
        </w:tc>
        <w:tc>
          <w:tcPr>
            <w:tcW w:w="1740" w:type="dxa"/>
            <w:vAlign w:val="center"/>
          </w:tcPr>
          <w:p w14:paraId="5FA0F92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(framework OR "structured review")</w:t>
            </w:r>
          </w:p>
        </w:tc>
        <w:tc>
          <w:tcPr>
            <w:tcW w:w="1155" w:type="dxa"/>
            <w:vAlign w:val="center"/>
          </w:tcPr>
          <w:p w14:paraId="3D824C11"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4AAD034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ACM</w:t>
            </w:r>
          </w:p>
        </w:tc>
        <w:tc>
          <w:tcPr>
            <w:tcW w:w="2475" w:type="dxa"/>
            <w:vAlign w:val="center"/>
          </w:tcPr>
          <w:p w14:paraId="6A6402E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Designing data governance</w:t>
            </w:r>
          </w:p>
        </w:tc>
        <w:tc>
          <w:tcPr>
            <w:tcW w:w="2490" w:type="dxa"/>
            <w:vAlign w:val="center"/>
          </w:tcPr>
          <w:p w14:paraId="19D11E29" w14:textId="77777777" w:rsidR="000E2BB3" w:rsidRDefault="00000000">
            <w:pPr>
              <w:spacing w:before="80" w:after="80"/>
              <w:rPr>
                <w:rFonts w:ascii="Times New Roman" w:eastAsia="Times New Roman" w:hAnsi="Times New Roman" w:cs="Times New Roman"/>
              </w:rPr>
            </w:pPr>
            <w:hyperlink r:id="rId15">
              <w:r>
                <w:rPr>
                  <w:rFonts w:ascii="Times New Roman" w:eastAsia="Times New Roman" w:hAnsi="Times New Roman" w:cs="Times New Roman"/>
                  <w:color w:val="1155CC"/>
                  <w:u w:val="single"/>
                </w:rPr>
                <w:t>https://doi.org/10.1145/1629175.1629210</w:t>
              </w:r>
            </w:hyperlink>
          </w:p>
        </w:tc>
      </w:tr>
      <w:tr w:rsidR="000E2BB3" w14:paraId="4D951D58" w14:textId="77777777">
        <w:tc>
          <w:tcPr>
            <w:tcW w:w="600" w:type="dxa"/>
            <w:vAlign w:val="center"/>
          </w:tcPr>
          <w:p w14:paraId="4690DD3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9</w:t>
            </w:r>
          </w:p>
        </w:tc>
        <w:tc>
          <w:tcPr>
            <w:tcW w:w="1740" w:type="dxa"/>
            <w:vAlign w:val="center"/>
          </w:tcPr>
          <w:p w14:paraId="3E84341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(framework OR "structured review")</w:t>
            </w:r>
          </w:p>
        </w:tc>
        <w:tc>
          <w:tcPr>
            <w:tcW w:w="1155" w:type="dxa"/>
            <w:vAlign w:val="center"/>
          </w:tcPr>
          <w:p w14:paraId="70D03D42"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7FCB0F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Elsevier</w:t>
            </w:r>
          </w:p>
        </w:tc>
        <w:tc>
          <w:tcPr>
            <w:tcW w:w="2475" w:type="dxa"/>
            <w:vAlign w:val="center"/>
          </w:tcPr>
          <w:p w14:paraId="2C1BAB9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governance: Organizing data for trustworthy artificial intelligence</w:t>
            </w:r>
          </w:p>
        </w:tc>
        <w:tc>
          <w:tcPr>
            <w:tcW w:w="2490" w:type="dxa"/>
            <w:vAlign w:val="center"/>
          </w:tcPr>
          <w:p w14:paraId="3C9224A8" w14:textId="77777777" w:rsidR="000E2BB3" w:rsidRDefault="00000000">
            <w:pPr>
              <w:spacing w:before="80" w:after="80"/>
              <w:rPr>
                <w:rFonts w:ascii="Times New Roman" w:eastAsia="Times New Roman" w:hAnsi="Times New Roman" w:cs="Times New Roman"/>
              </w:rPr>
            </w:pPr>
            <w:hyperlink r:id="rId16">
              <w:r>
                <w:rPr>
                  <w:rFonts w:ascii="Times New Roman" w:eastAsia="Times New Roman" w:hAnsi="Times New Roman" w:cs="Times New Roman"/>
                  <w:color w:val="1155CC"/>
                  <w:u w:val="single"/>
                </w:rPr>
                <w:t>https://doi.org/10.1016/j.giq.2020.101493</w:t>
              </w:r>
            </w:hyperlink>
          </w:p>
        </w:tc>
      </w:tr>
      <w:tr w:rsidR="000E2BB3" w14:paraId="1147E45F" w14:textId="77777777">
        <w:tc>
          <w:tcPr>
            <w:tcW w:w="600" w:type="dxa"/>
            <w:vAlign w:val="center"/>
          </w:tcPr>
          <w:p w14:paraId="6C938A6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10</w:t>
            </w:r>
          </w:p>
        </w:tc>
        <w:tc>
          <w:tcPr>
            <w:tcW w:w="1740" w:type="dxa"/>
            <w:vAlign w:val="center"/>
          </w:tcPr>
          <w:p w14:paraId="7331EF5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(framework OR "structured review")</w:t>
            </w:r>
          </w:p>
        </w:tc>
        <w:tc>
          <w:tcPr>
            <w:tcW w:w="1155" w:type="dxa"/>
            <w:vAlign w:val="center"/>
          </w:tcPr>
          <w:p w14:paraId="5DB850A5"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2FABB0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Elsevier</w:t>
            </w:r>
          </w:p>
        </w:tc>
        <w:tc>
          <w:tcPr>
            <w:tcW w:w="2475" w:type="dxa"/>
            <w:vAlign w:val="center"/>
          </w:tcPr>
          <w:p w14:paraId="67E5193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Matters: A strategic action framework for data governance</w:t>
            </w:r>
          </w:p>
        </w:tc>
        <w:tc>
          <w:tcPr>
            <w:tcW w:w="2490" w:type="dxa"/>
            <w:vAlign w:val="center"/>
          </w:tcPr>
          <w:p w14:paraId="5B060703" w14:textId="77777777" w:rsidR="000E2BB3" w:rsidRDefault="00000000">
            <w:pPr>
              <w:spacing w:before="80" w:after="80"/>
              <w:rPr>
                <w:rFonts w:ascii="Times New Roman" w:eastAsia="Times New Roman" w:hAnsi="Times New Roman" w:cs="Times New Roman"/>
              </w:rPr>
            </w:pPr>
            <w:hyperlink r:id="rId17">
              <w:r>
                <w:rPr>
                  <w:rFonts w:ascii="Times New Roman" w:eastAsia="Times New Roman" w:hAnsi="Times New Roman" w:cs="Times New Roman"/>
                  <w:color w:val="1155CC"/>
                  <w:u w:val="single"/>
                </w:rPr>
                <w:t>https://doi.org/10.1016/j.im.2022.103642</w:t>
              </w:r>
            </w:hyperlink>
          </w:p>
        </w:tc>
      </w:tr>
      <w:tr w:rsidR="000E2BB3" w14:paraId="31A1772A" w14:textId="77777777">
        <w:tc>
          <w:tcPr>
            <w:tcW w:w="600" w:type="dxa"/>
            <w:vAlign w:val="center"/>
          </w:tcPr>
          <w:p w14:paraId="0E10C1A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11</w:t>
            </w:r>
          </w:p>
        </w:tc>
        <w:tc>
          <w:tcPr>
            <w:tcW w:w="1740" w:type="dxa"/>
            <w:vAlign w:val="center"/>
          </w:tcPr>
          <w:p w14:paraId="33E2769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(organizing OR organization) AND telecommunications</w:t>
            </w:r>
          </w:p>
        </w:tc>
        <w:tc>
          <w:tcPr>
            <w:tcW w:w="1155" w:type="dxa"/>
            <w:vAlign w:val="center"/>
          </w:tcPr>
          <w:p w14:paraId="11EC64E9"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34E8014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Association for Information Systems</w:t>
            </w:r>
          </w:p>
        </w:tc>
        <w:tc>
          <w:tcPr>
            <w:tcW w:w="2475" w:type="dxa"/>
            <w:vAlign w:val="center"/>
          </w:tcPr>
          <w:p w14:paraId="438506C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Organizing data governance: Findings from the telecommunications industry and consequences for large service providers</w:t>
            </w:r>
          </w:p>
        </w:tc>
        <w:tc>
          <w:tcPr>
            <w:tcW w:w="2490" w:type="dxa"/>
            <w:vAlign w:val="center"/>
          </w:tcPr>
          <w:p w14:paraId="61631820" w14:textId="77777777" w:rsidR="000E2BB3" w:rsidRDefault="00000000">
            <w:pPr>
              <w:spacing w:before="80" w:after="80"/>
              <w:rPr>
                <w:rFonts w:ascii="Times New Roman" w:eastAsia="Times New Roman" w:hAnsi="Times New Roman" w:cs="Times New Roman"/>
              </w:rPr>
            </w:pPr>
            <w:hyperlink r:id="rId18">
              <w:r>
                <w:rPr>
                  <w:rFonts w:ascii="Times New Roman" w:eastAsia="Times New Roman" w:hAnsi="Times New Roman" w:cs="Times New Roman"/>
                  <w:color w:val="1155CC"/>
                  <w:u w:val="single"/>
                </w:rPr>
                <w:t>https://doi.org/10.17705/1CAIS.02903</w:t>
              </w:r>
            </w:hyperlink>
          </w:p>
        </w:tc>
      </w:tr>
      <w:tr w:rsidR="000E2BB3" w14:paraId="148541CC" w14:textId="77777777">
        <w:tc>
          <w:tcPr>
            <w:tcW w:w="600" w:type="dxa"/>
            <w:vAlign w:val="center"/>
          </w:tcPr>
          <w:p w14:paraId="1A65638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12</w:t>
            </w:r>
          </w:p>
        </w:tc>
        <w:tc>
          <w:tcPr>
            <w:tcW w:w="1740" w:type="dxa"/>
            <w:vAlign w:val="center"/>
          </w:tcPr>
          <w:p w14:paraId="3EA8AAC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"data science" AND </w:t>
            </w:r>
            <w:r>
              <w:rPr>
                <w:rFonts w:ascii="Times New Roman" w:eastAsia="Times New Roman" w:hAnsi="Times New Roman" w:cs="Times New Roman"/>
              </w:rPr>
              <w:lastRenderedPageBreak/>
              <w:t>("success factor" OR success)</w:t>
            </w:r>
          </w:p>
        </w:tc>
        <w:tc>
          <w:tcPr>
            <w:tcW w:w="1155" w:type="dxa"/>
            <w:vAlign w:val="center"/>
          </w:tcPr>
          <w:p w14:paraId="67AD7C79"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lastRenderedPageBreak/>
              <w:t>OpenAlex</w:t>
            </w:r>
            <w:proofErr w:type="spellEnd"/>
            <w:r>
              <w:rPr>
                <w:rFonts w:ascii="Times New Roman" w:eastAsia="Times New Roman" w:hAnsi="Times New Roman" w:cs="Times New Roman"/>
              </w:rPr>
              <w:t xml:space="preserve"> API (Boolean)</w:t>
            </w:r>
          </w:p>
        </w:tc>
        <w:tc>
          <w:tcPr>
            <w:tcW w:w="1365" w:type="dxa"/>
            <w:vAlign w:val="center"/>
          </w:tcPr>
          <w:p w14:paraId="058D0D6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0F48851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governance as success factor for data science</w:t>
            </w:r>
          </w:p>
        </w:tc>
        <w:tc>
          <w:tcPr>
            <w:tcW w:w="2490" w:type="dxa"/>
            <w:vAlign w:val="center"/>
          </w:tcPr>
          <w:p w14:paraId="6C264DD8" w14:textId="77777777" w:rsidR="000E2BB3" w:rsidRDefault="00000000">
            <w:pPr>
              <w:spacing w:before="80" w:after="80"/>
              <w:rPr>
                <w:rFonts w:ascii="Times New Roman" w:eastAsia="Times New Roman" w:hAnsi="Times New Roman" w:cs="Times New Roman"/>
              </w:rPr>
            </w:pPr>
            <w:hyperlink r:id="rId19">
              <w:r>
                <w:rPr>
                  <w:rFonts w:ascii="Times New Roman" w:eastAsia="Times New Roman" w:hAnsi="Times New Roman" w:cs="Times New Roman"/>
                  <w:color w:val="1155CC"/>
                  <w:u w:val="single"/>
                </w:rPr>
                <w:t>https://doi.org/10.1007/978-3-030-44999-5_36</w:t>
              </w:r>
            </w:hyperlink>
          </w:p>
        </w:tc>
      </w:tr>
      <w:tr w:rsidR="000E2BB3" w14:paraId="6E21F51F" w14:textId="77777777">
        <w:tc>
          <w:tcPr>
            <w:tcW w:w="600" w:type="dxa"/>
            <w:vAlign w:val="center"/>
          </w:tcPr>
          <w:p w14:paraId="5739D8F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13</w:t>
            </w:r>
          </w:p>
        </w:tc>
        <w:tc>
          <w:tcPr>
            <w:tcW w:w="1740" w:type="dxa"/>
            <w:vAlign w:val="center"/>
          </w:tcPr>
          <w:p w14:paraId="614676B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 OR "data catalogue") AND (enterprise OR implementation)</w:t>
            </w:r>
          </w:p>
        </w:tc>
        <w:tc>
          <w:tcPr>
            <w:tcW w:w="1155" w:type="dxa"/>
            <w:vAlign w:val="center"/>
          </w:tcPr>
          <w:p w14:paraId="674540A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66CDBE9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IEEE</w:t>
            </w:r>
          </w:p>
        </w:tc>
        <w:tc>
          <w:tcPr>
            <w:tcW w:w="2475" w:type="dxa"/>
            <w:vAlign w:val="center"/>
          </w:tcPr>
          <w:p w14:paraId="7E14F5E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FAIR enough? Enhancing the usage of enterprise data with data catalogs</w:t>
            </w:r>
          </w:p>
        </w:tc>
        <w:tc>
          <w:tcPr>
            <w:tcW w:w="2490" w:type="dxa"/>
            <w:vAlign w:val="center"/>
          </w:tcPr>
          <w:p w14:paraId="052B6DDA" w14:textId="77777777" w:rsidR="000E2BB3" w:rsidRDefault="00000000">
            <w:pPr>
              <w:spacing w:before="80" w:after="80"/>
              <w:rPr>
                <w:rFonts w:ascii="Times New Roman" w:eastAsia="Times New Roman" w:hAnsi="Times New Roman" w:cs="Times New Roman"/>
              </w:rPr>
            </w:pPr>
            <w:hyperlink r:id="rId20">
              <w:r>
                <w:rPr>
                  <w:rFonts w:ascii="Times New Roman" w:eastAsia="Times New Roman" w:hAnsi="Times New Roman" w:cs="Times New Roman"/>
                  <w:color w:val="1155CC"/>
                  <w:u w:val="single"/>
                </w:rPr>
                <w:t>https://doi.org/10.1109/CBI49978.2020.00029</w:t>
              </w:r>
            </w:hyperlink>
          </w:p>
        </w:tc>
      </w:tr>
      <w:tr w:rsidR="000E2BB3" w14:paraId="48129B21" w14:textId="77777777">
        <w:tc>
          <w:tcPr>
            <w:tcW w:w="600" w:type="dxa"/>
            <w:vAlign w:val="center"/>
          </w:tcPr>
          <w:p w14:paraId="27C5978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14</w:t>
            </w:r>
          </w:p>
        </w:tc>
        <w:tc>
          <w:tcPr>
            <w:tcW w:w="1740" w:type="dxa"/>
            <w:vAlign w:val="center"/>
          </w:tcPr>
          <w:p w14:paraId="6253EEA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 OR "data catalogue") AND (enterprise OR implementation)</w:t>
            </w:r>
          </w:p>
        </w:tc>
        <w:tc>
          <w:tcPr>
            <w:tcW w:w="1155" w:type="dxa"/>
            <w:vAlign w:val="center"/>
          </w:tcPr>
          <w:p w14:paraId="48F6CB11"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3ED91B9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2A03AC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catalogs: A systematic literature review and guidelines to implementation</w:t>
            </w:r>
          </w:p>
        </w:tc>
        <w:tc>
          <w:tcPr>
            <w:tcW w:w="2490" w:type="dxa"/>
            <w:vAlign w:val="center"/>
          </w:tcPr>
          <w:p w14:paraId="69FA72CA" w14:textId="77777777" w:rsidR="000E2BB3" w:rsidRDefault="00000000">
            <w:pPr>
              <w:spacing w:before="80" w:after="80"/>
              <w:rPr>
                <w:rFonts w:ascii="Times New Roman" w:eastAsia="Times New Roman" w:hAnsi="Times New Roman" w:cs="Times New Roman"/>
              </w:rPr>
            </w:pPr>
            <w:hyperlink r:id="rId21">
              <w:r>
                <w:rPr>
                  <w:rFonts w:ascii="Times New Roman" w:eastAsia="Times New Roman" w:hAnsi="Times New Roman" w:cs="Times New Roman"/>
                  <w:color w:val="1155CC"/>
                  <w:u w:val="single"/>
                </w:rPr>
                <w:t>https://doi.org/10.1007/978-3-030-87101-7_15</w:t>
              </w:r>
            </w:hyperlink>
          </w:p>
        </w:tc>
      </w:tr>
      <w:tr w:rsidR="000E2BB3" w14:paraId="4CF076B4" w14:textId="77777777">
        <w:tc>
          <w:tcPr>
            <w:tcW w:w="600" w:type="dxa"/>
            <w:vAlign w:val="center"/>
          </w:tcPr>
          <w:p w14:paraId="0CD6227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15</w:t>
            </w:r>
          </w:p>
        </w:tc>
        <w:tc>
          <w:tcPr>
            <w:tcW w:w="1740" w:type="dxa"/>
            <w:vAlign w:val="center"/>
          </w:tcPr>
          <w:p w14:paraId="0DF53B8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 OR "data catalogue") AND (enterprise OR implementation)</w:t>
            </w:r>
          </w:p>
        </w:tc>
        <w:tc>
          <w:tcPr>
            <w:tcW w:w="1155" w:type="dxa"/>
            <w:vAlign w:val="center"/>
          </w:tcPr>
          <w:p w14:paraId="13F8522D"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387556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0881516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catalogs in the enterprise: Applications and integration</w:t>
            </w:r>
          </w:p>
        </w:tc>
        <w:tc>
          <w:tcPr>
            <w:tcW w:w="2490" w:type="dxa"/>
            <w:vAlign w:val="center"/>
          </w:tcPr>
          <w:p w14:paraId="641D23BA" w14:textId="77777777" w:rsidR="000E2BB3" w:rsidRDefault="00000000">
            <w:pPr>
              <w:spacing w:before="80" w:after="80"/>
              <w:rPr>
                <w:rFonts w:ascii="Times New Roman" w:eastAsia="Times New Roman" w:hAnsi="Times New Roman" w:cs="Times New Roman"/>
              </w:rPr>
            </w:pPr>
            <w:hyperlink r:id="rId22">
              <w:r>
                <w:rPr>
                  <w:rFonts w:ascii="Times New Roman" w:eastAsia="Times New Roman" w:hAnsi="Times New Roman" w:cs="Times New Roman"/>
                  <w:color w:val="1155CC"/>
                  <w:u w:val="single"/>
                </w:rPr>
                <w:t>https://doi.org/10.1007/s13222-023-00445-2</w:t>
              </w:r>
            </w:hyperlink>
          </w:p>
        </w:tc>
      </w:tr>
      <w:tr w:rsidR="000E2BB3" w14:paraId="02FE8AA4" w14:textId="77777777">
        <w:tc>
          <w:tcPr>
            <w:tcW w:w="600" w:type="dxa"/>
            <w:vAlign w:val="center"/>
          </w:tcPr>
          <w:p w14:paraId="4006B2F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16</w:t>
            </w:r>
          </w:p>
        </w:tc>
        <w:tc>
          <w:tcPr>
            <w:tcW w:w="1740" w:type="dxa"/>
            <w:vAlign w:val="center"/>
          </w:tcPr>
          <w:p w14:paraId="5C0C132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 OR "data catalogue") AND (enterprise OR implementation)</w:t>
            </w:r>
          </w:p>
        </w:tc>
        <w:tc>
          <w:tcPr>
            <w:tcW w:w="1155" w:type="dxa"/>
            <w:vAlign w:val="center"/>
          </w:tcPr>
          <w:p w14:paraId="5646C6A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7440FE6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IJFRCSCE (independent)</w:t>
            </w:r>
          </w:p>
        </w:tc>
        <w:tc>
          <w:tcPr>
            <w:tcW w:w="2475" w:type="dxa"/>
            <w:vAlign w:val="center"/>
          </w:tcPr>
          <w:p w14:paraId="7C6D165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catalogue approaches, implementation and adoption</w:t>
            </w:r>
          </w:p>
        </w:tc>
        <w:tc>
          <w:tcPr>
            <w:tcW w:w="2490" w:type="dxa"/>
            <w:vAlign w:val="center"/>
          </w:tcPr>
          <w:p w14:paraId="7FFF5F78" w14:textId="77777777" w:rsidR="000E2BB3" w:rsidRDefault="00000000">
            <w:pPr>
              <w:spacing w:before="80" w:after="80"/>
              <w:rPr>
                <w:rFonts w:ascii="Times New Roman" w:eastAsia="Times New Roman" w:hAnsi="Times New Roman" w:cs="Times New Roman"/>
              </w:rPr>
            </w:pPr>
            <w:hyperlink r:id="rId23">
              <w:r>
                <w:rPr>
                  <w:rFonts w:ascii="Times New Roman" w:eastAsia="Times New Roman" w:hAnsi="Times New Roman" w:cs="Times New Roman"/>
                  <w:color w:val="1155CC"/>
                  <w:u w:val="single"/>
                </w:rPr>
                <w:t>https://doi.org/10.17762/ijfrcsce.v8i1.2063</w:t>
              </w:r>
            </w:hyperlink>
          </w:p>
        </w:tc>
      </w:tr>
      <w:tr w:rsidR="000E2BB3" w14:paraId="6EF750ED" w14:textId="77777777">
        <w:tc>
          <w:tcPr>
            <w:tcW w:w="600" w:type="dxa"/>
            <w:vAlign w:val="center"/>
          </w:tcPr>
          <w:p w14:paraId="7A19556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17</w:t>
            </w:r>
          </w:p>
        </w:tc>
        <w:tc>
          <w:tcPr>
            <w:tcW w:w="1740" w:type="dxa"/>
            <w:vAlign w:val="center"/>
          </w:tcPr>
          <w:p w14:paraId="38EEF1A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metadata</w:t>
            </w:r>
            <w:proofErr w:type="gramEnd"/>
            <w:r>
              <w:rPr>
                <w:rFonts w:ascii="Times New Roman" w:eastAsia="Times New Roman" w:hAnsi="Times New Roman" w:cs="Times New Roman"/>
              </w:rPr>
              <w:t xml:space="preserve"> management" AND ("data lake" OR "active metadata" OR "data catalog")</w:t>
            </w:r>
          </w:p>
        </w:tc>
        <w:tc>
          <w:tcPr>
            <w:tcW w:w="1155" w:type="dxa"/>
            <w:vAlign w:val="center"/>
          </w:tcPr>
          <w:p w14:paraId="41B91671"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749EBC2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Elsevier</w:t>
            </w:r>
          </w:p>
        </w:tc>
        <w:tc>
          <w:tcPr>
            <w:tcW w:w="2475" w:type="dxa"/>
            <w:vAlign w:val="center"/>
          </w:tcPr>
          <w:p w14:paraId="08A5DCF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catalog tools: A systematic multivocal literature review</w:t>
            </w:r>
          </w:p>
        </w:tc>
        <w:tc>
          <w:tcPr>
            <w:tcW w:w="2490" w:type="dxa"/>
            <w:vAlign w:val="center"/>
          </w:tcPr>
          <w:p w14:paraId="5E1BE399" w14:textId="77777777" w:rsidR="000E2BB3" w:rsidRDefault="00000000">
            <w:pPr>
              <w:spacing w:before="80" w:after="80"/>
              <w:rPr>
                <w:rFonts w:ascii="Times New Roman" w:eastAsia="Times New Roman" w:hAnsi="Times New Roman" w:cs="Times New Roman"/>
              </w:rPr>
            </w:pPr>
            <w:hyperlink r:id="rId24">
              <w:r>
                <w:rPr>
                  <w:rFonts w:ascii="Times New Roman" w:eastAsia="Times New Roman" w:hAnsi="Times New Roman" w:cs="Times New Roman"/>
                  <w:color w:val="1155CC"/>
                  <w:u w:val="single"/>
                </w:rPr>
                <w:t>https://doi.org/10.1016/j.jss.2025.112584</w:t>
              </w:r>
            </w:hyperlink>
          </w:p>
        </w:tc>
      </w:tr>
      <w:tr w:rsidR="000E2BB3" w14:paraId="7701BB2D" w14:textId="77777777">
        <w:tc>
          <w:tcPr>
            <w:tcW w:w="600" w:type="dxa"/>
            <w:vAlign w:val="center"/>
          </w:tcPr>
          <w:p w14:paraId="20E886F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18</w:t>
            </w:r>
          </w:p>
        </w:tc>
        <w:tc>
          <w:tcPr>
            <w:tcW w:w="1740" w:type="dxa"/>
            <w:vAlign w:val="center"/>
          </w:tcPr>
          <w:p w14:paraId="138E76B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metadata</w:t>
            </w:r>
            <w:proofErr w:type="gramEnd"/>
            <w:r>
              <w:rPr>
                <w:rFonts w:ascii="Times New Roman" w:eastAsia="Times New Roman" w:hAnsi="Times New Roman" w:cs="Times New Roman"/>
              </w:rPr>
              <w:t xml:space="preserve"> management" AND ("data lake" OR "active metadata" OR "data catalog")</w:t>
            </w:r>
          </w:p>
        </w:tc>
        <w:tc>
          <w:tcPr>
            <w:tcW w:w="1155" w:type="dxa"/>
            <w:vAlign w:val="center"/>
          </w:tcPr>
          <w:p w14:paraId="5B6E15AA"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2941EEE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6176ED1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On data lake architectures and metadata management</w:t>
            </w:r>
          </w:p>
        </w:tc>
        <w:tc>
          <w:tcPr>
            <w:tcW w:w="2490" w:type="dxa"/>
            <w:vAlign w:val="center"/>
          </w:tcPr>
          <w:p w14:paraId="2A721E50" w14:textId="77777777" w:rsidR="000E2BB3" w:rsidRDefault="00000000">
            <w:pPr>
              <w:spacing w:before="80" w:after="80"/>
              <w:rPr>
                <w:rFonts w:ascii="Times New Roman" w:eastAsia="Times New Roman" w:hAnsi="Times New Roman" w:cs="Times New Roman"/>
              </w:rPr>
            </w:pPr>
            <w:hyperlink r:id="rId25">
              <w:r>
                <w:rPr>
                  <w:rFonts w:ascii="Times New Roman" w:eastAsia="Times New Roman" w:hAnsi="Times New Roman" w:cs="Times New Roman"/>
                  <w:color w:val="1155CC"/>
                  <w:u w:val="single"/>
                </w:rPr>
                <w:t>https://doi.org/10.1007/s10844-020-00608-7</w:t>
              </w:r>
            </w:hyperlink>
          </w:p>
        </w:tc>
      </w:tr>
      <w:tr w:rsidR="000E2BB3" w14:paraId="22DDAF08" w14:textId="77777777">
        <w:tc>
          <w:tcPr>
            <w:tcW w:w="600" w:type="dxa"/>
            <w:vAlign w:val="center"/>
          </w:tcPr>
          <w:p w14:paraId="18769E9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19</w:t>
            </w:r>
          </w:p>
        </w:tc>
        <w:tc>
          <w:tcPr>
            <w:tcW w:w="1740" w:type="dxa"/>
            <w:vAlign w:val="center"/>
          </w:tcPr>
          <w:p w14:paraId="19ADE5D6"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OR "open-source metadata platform" OR "</w:t>
            </w:r>
            <w:proofErr w:type="gramStart"/>
            <w:r>
              <w:rPr>
                <w:rFonts w:ascii="Times New Roman" w:eastAsia="Times New Roman" w:hAnsi="Times New Roman" w:cs="Times New Roman"/>
              </w:rPr>
              <w:t>open source</w:t>
            </w:r>
            <w:proofErr w:type="gramEnd"/>
            <w:r>
              <w:rPr>
                <w:rFonts w:ascii="Times New Roman" w:eastAsia="Times New Roman" w:hAnsi="Times New Roman" w:cs="Times New Roman"/>
              </w:rPr>
              <w:t xml:space="preserve"> data catalog"</w:t>
            </w:r>
          </w:p>
        </w:tc>
        <w:tc>
          <w:tcPr>
            <w:tcW w:w="1155" w:type="dxa"/>
            <w:vAlign w:val="center"/>
          </w:tcPr>
          <w:p w14:paraId="3F570F52"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9F388B2"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Sociedade</w:t>
            </w:r>
            <w:proofErr w:type="spellEnd"/>
            <w:r>
              <w:rPr>
                <w:rFonts w:ascii="Times New Roman" w:eastAsia="Times New Roman" w:hAnsi="Times New Roman" w:cs="Times New Roman"/>
              </w:rPr>
              <w:t xml:space="preserve"> Brasileira de Computação (SBC)</w:t>
            </w:r>
          </w:p>
        </w:tc>
        <w:tc>
          <w:tcPr>
            <w:tcW w:w="2475" w:type="dxa"/>
            <w:vAlign w:val="center"/>
          </w:tcPr>
          <w:p w14:paraId="5ECFC837"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Análise</w:t>
            </w:r>
            <w:proofErr w:type="spellEnd"/>
            <w:r>
              <w:rPr>
                <w:rFonts w:ascii="Times New Roman" w:eastAsia="Times New Roman" w:hAnsi="Times New Roman" w:cs="Times New Roman"/>
              </w:rPr>
              <w:t xml:space="preserve"> de ferramentas de </w:t>
            </w:r>
            <w:proofErr w:type="spellStart"/>
            <w:r>
              <w:rPr>
                <w:rFonts w:ascii="Times New Roman" w:eastAsia="Times New Roman" w:hAnsi="Times New Roman" w:cs="Times New Roman"/>
              </w:rPr>
              <w:t>código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aberto</w:t>
            </w:r>
            <w:proofErr w:type="spellEnd"/>
            <w:r>
              <w:rPr>
                <w:rFonts w:ascii="Times New Roman" w:eastAsia="Times New Roman" w:hAnsi="Times New Roman" w:cs="Times New Roman"/>
              </w:rPr>
              <w:t xml:space="preserve"> para </w:t>
            </w:r>
            <w:proofErr w:type="spellStart"/>
            <w:r>
              <w:rPr>
                <w:rFonts w:ascii="Times New Roman" w:eastAsia="Times New Roman" w:hAnsi="Times New Roman" w:cs="Times New Roman"/>
              </w:rPr>
              <w:t>gestão</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metadados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e Amundsen</w:t>
            </w:r>
          </w:p>
        </w:tc>
        <w:tc>
          <w:tcPr>
            <w:tcW w:w="2490" w:type="dxa"/>
            <w:vAlign w:val="center"/>
          </w:tcPr>
          <w:p w14:paraId="6440BE9E" w14:textId="77777777" w:rsidR="000E2BB3" w:rsidRDefault="00000000">
            <w:pPr>
              <w:spacing w:before="80" w:after="80"/>
              <w:rPr>
                <w:rFonts w:ascii="Times New Roman" w:eastAsia="Times New Roman" w:hAnsi="Times New Roman" w:cs="Times New Roman"/>
              </w:rPr>
            </w:pPr>
            <w:hyperlink r:id="rId26">
              <w:r>
                <w:rPr>
                  <w:rFonts w:ascii="Times New Roman" w:eastAsia="Times New Roman" w:hAnsi="Times New Roman" w:cs="Times New Roman"/>
                  <w:color w:val="1155CC"/>
                  <w:u w:val="single"/>
                </w:rPr>
                <w:t>https://doi.org/10.5753/erbd.2025.7328</w:t>
              </w:r>
            </w:hyperlink>
          </w:p>
        </w:tc>
      </w:tr>
      <w:tr w:rsidR="000E2BB3" w14:paraId="34D03ABB" w14:textId="77777777">
        <w:tc>
          <w:tcPr>
            <w:tcW w:w="600" w:type="dxa"/>
            <w:vAlign w:val="center"/>
          </w:tcPr>
          <w:p w14:paraId="2D90948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20</w:t>
            </w:r>
          </w:p>
        </w:tc>
        <w:tc>
          <w:tcPr>
            <w:tcW w:w="1740" w:type="dxa"/>
            <w:vAlign w:val="center"/>
          </w:tcPr>
          <w:p w14:paraId="1E9E077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provenance AND survey AND ("what for" OR "what form")</w:t>
            </w:r>
          </w:p>
        </w:tc>
        <w:tc>
          <w:tcPr>
            <w:tcW w:w="1155" w:type="dxa"/>
            <w:vAlign w:val="center"/>
          </w:tcPr>
          <w:p w14:paraId="2F90F13E"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668393E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60CE614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 survey on provenance: What for? What form? What from?</w:t>
            </w:r>
          </w:p>
        </w:tc>
        <w:tc>
          <w:tcPr>
            <w:tcW w:w="2490" w:type="dxa"/>
            <w:vAlign w:val="center"/>
          </w:tcPr>
          <w:p w14:paraId="6876E8DC" w14:textId="77777777" w:rsidR="000E2BB3" w:rsidRDefault="00000000">
            <w:pPr>
              <w:spacing w:before="80" w:after="80"/>
              <w:rPr>
                <w:rFonts w:ascii="Times New Roman" w:eastAsia="Times New Roman" w:hAnsi="Times New Roman" w:cs="Times New Roman"/>
              </w:rPr>
            </w:pPr>
            <w:hyperlink r:id="rId27">
              <w:r>
                <w:rPr>
                  <w:rFonts w:ascii="Times New Roman" w:eastAsia="Times New Roman" w:hAnsi="Times New Roman" w:cs="Times New Roman"/>
                  <w:color w:val="1155CC"/>
                  <w:u w:val="single"/>
                </w:rPr>
                <w:t>https://doi.org/10.1007/s00778-017-0486-1</w:t>
              </w:r>
            </w:hyperlink>
          </w:p>
        </w:tc>
      </w:tr>
      <w:tr w:rsidR="000E2BB3" w14:paraId="6E7BF6D6" w14:textId="77777777">
        <w:tc>
          <w:tcPr>
            <w:tcW w:w="600" w:type="dxa"/>
            <w:vAlign w:val="center"/>
          </w:tcPr>
          <w:p w14:paraId="3369E69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21</w:t>
            </w:r>
          </w:p>
        </w:tc>
        <w:tc>
          <w:tcPr>
            <w:tcW w:w="1740" w:type="dxa"/>
            <w:vAlign w:val="center"/>
          </w:tcPr>
          <w:p w14:paraId="00C0BDE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(provenance OR "data lineage") AND survey</w:t>
            </w:r>
          </w:p>
        </w:tc>
        <w:tc>
          <w:tcPr>
            <w:tcW w:w="1155" w:type="dxa"/>
            <w:vAlign w:val="center"/>
          </w:tcPr>
          <w:p w14:paraId="7D40ED9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3EE8F64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Stanford </w:t>
            </w:r>
            <w:proofErr w:type="spellStart"/>
            <w:r>
              <w:rPr>
                <w:rFonts w:ascii="Times New Roman" w:eastAsia="Times New Roman" w:hAnsi="Times New Roman" w:cs="Times New Roman"/>
              </w:rPr>
              <w:t>InfoLab</w:t>
            </w:r>
            <w:proofErr w:type="spellEnd"/>
            <w:r>
              <w:rPr>
                <w:rFonts w:ascii="Times New Roman" w:eastAsia="Times New Roman" w:hAnsi="Times New Roman" w:cs="Times New Roman"/>
              </w:rPr>
              <w:t xml:space="preserve"> (technical report)</w:t>
            </w:r>
          </w:p>
        </w:tc>
        <w:tc>
          <w:tcPr>
            <w:tcW w:w="2475" w:type="dxa"/>
            <w:vAlign w:val="center"/>
          </w:tcPr>
          <w:p w14:paraId="0A3C0CD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lineage: A survey</w:t>
            </w:r>
          </w:p>
        </w:tc>
        <w:tc>
          <w:tcPr>
            <w:tcW w:w="2490" w:type="dxa"/>
            <w:vAlign w:val="center"/>
          </w:tcPr>
          <w:p w14:paraId="3CC50C77" w14:textId="77777777" w:rsidR="000E2BB3" w:rsidRDefault="00000000">
            <w:pPr>
              <w:spacing w:before="80" w:after="80"/>
              <w:rPr>
                <w:rFonts w:ascii="Times New Roman" w:eastAsia="Times New Roman" w:hAnsi="Times New Roman" w:cs="Times New Roman"/>
              </w:rPr>
            </w:pPr>
            <w:hyperlink r:id="rId28">
              <w:r>
                <w:rPr>
                  <w:rFonts w:ascii="Times New Roman" w:eastAsia="Times New Roman" w:hAnsi="Times New Roman" w:cs="Times New Roman"/>
                  <w:color w:val="1155CC"/>
                  <w:u w:val="single"/>
                </w:rPr>
                <w:t>http://citeseerx.ist.psu.edu/viewdoc/summary?doi=10.1.1.527.6676</w:t>
              </w:r>
            </w:hyperlink>
          </w:p>
        </w:tc>
      </w:tr>
      <w:tr w:rsidR="000E2BB3" w14:paraId="71FF42B7" w14:textId="77777777">
        <w:tc>
          <w:tcPr>
            <w:tcW w:w="600" w:type="dxa"/>
            <w:vAlign w:val="center"/>
          </w:tcPr>
          <w:p w14:paraId="24B9662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22</w:t>
            </w:r>
          </w:p>
        </w:tc>
        <w:tc>
          <w:tcPr>
            <w:tcW w:w="1740" w:type="dxa"/>
            <w:vAlign w:val="center"/>
          </w:tcPr>
          <w:p w14:paraId="778FD98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quality" AND dimensions AND "data consumers"</w:t>
            </w:r>
          </w:p>
        </w:tc>
        <w:tc>
          <w:tcPr>
            <w:tcW w:w="1155" w:type="dxa"/>
            <w:vAlign w:val="center"/>
          </w:tcPr>
          <w:p w14:paraId="6498EC3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59AA70C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Taylor &amp; Francis</w:t>
            </w:r>
          </w:p>
        </w:tc>
        <w:tc>
          <w:tcPr>
            <w:tcW w:w="2475" w:type="dxa"/>
            <w:vAlign w:val="center"/>
          </w:tcPr>
          <w:p w14:paraId="7AB4DBE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Beyond accuracy: What data quality means to data consumers</w:t>
            </w:r>
          </w:p>
        </w:tc>
        <w:tc>
          <w:tcPr>
            <w:tcW w:w="2490" w:type="dxa"/>
            <w:vAlign w:val="center"/>
          </w:tcPr>
          <w:p w14:paraId="0766134E" w14:textId="77777777" w:rsidR="000E2BB3" w:rsidRDefault="00000000">
            <w:pPr>
              <w:spacing w:before="80" w:after="80"/>
              <w:rPr>
                <w:rFonts w:ascii="Times New Roman" w:eastAsia="Times New Roman" w:hAnsi="Times New Roman" w:cs="Times New Roman"/>
              </w:rPr>
            </w:pPr>
            <w:hyperlink r:id="rId29">
              <w:r>
                <w:rPr>
                  <w:rFonts w:ascii="Times New Roman" w:eastAsia="Times New Roman" w:hAnsi="Times New Roman" w:cs="Times New Roman"/>
                  <w:color w:val="1155CC"/>
                  <w:u w:val="single"/>
                </w:rPr>
                <w:t>https://doi.org/10.1080/07421222.1996.11518099</w:t>
              </w:r>
            </w:hyperlink>
          </w:p>
        </w:tc>
      </w:tr>
      <w:tr w:rsidR="000E2BB3" w14:paraId="095A8CDA" w14:textId="77777777">
        <w:tc>
          <w:tcPr>
            <w:tcW w:w="600" w:type="dxa"/>
            <w:vAlign w:val="center"/>
          </w:tcPr>
          <w:p w14:paraId="68AF6D3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23</w:t>
            </w:r>
          </w:p>
        </w:tc>
        <w:tc>
          <w:tcPr>
            <w:tcW w:w="1740" w:type="dxa"/>
            <w:vAlign w:val="center"/>
          </w:tcPr>
          <w:p w14:paraId="2CFD2DF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("sensitive data" OR "sensitive entity") AND detection AND ("neural network" OR CNN) AND financial</w:t>
            </w:r>
          </w:p>
        </w:tc>
        <w:tc>
          <w:tcPr>
            <w:tcW w:w="1155" w:type="dxa"/>
            <w:vAlign w:val="center"/>
          </w:tcPr>
          <w:p w14:paraId="07DA5BC5"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 </w:t>
            </w:r>
            <w:proofErr w:type="spellStart"/>
            <w:r>
              <w:rPr>
                <w:rFonts w:ascii="Times New Roman" w:eastAsia="Times New Roman" w:hAnsi="Times New Roman" w:cs="Times New Roman"/>
              </w:rPr>
              <w:t>arXiv</w:t>
            </w:r>
            <w:proofErr w:type="spellEnd"/>
          </w:p>
        </w:tc>
        <w:tc>
          <w:tcPr>
            <w:tcW w:w="1365" w:type="dxa"/>
            <w:vAlign w:val="center"/>
          </w:tcPr>
          <w:p w14:paraId="5EFF36A8"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arXiv</w:t>
            </w:r>
            <w:proofErr w:type="spellEnd"/>
            <w:r>
              <w:rPr>
                <w:rFonts w:ascii="Times New Roman" w:eastAsia="Times New Roman" w:hAnsi="Times New Roman" w:cs="Times New Roman"/>
              </w:rPr>
              <w:t xml:space="preserve"> (Cornell University)</w:t>
            </w:r>
          </w:p>
        </w:tc>
        <w:tc>
          <w:tcPr>
            <w:tcW w:w="2475" w:type="dxa"/>
            <w:vAlign w:val="center"/>
          </w:tcPr>
          <w:p w14:paraId="7FE0BDA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Sensitive data detection with high-throughput neural network models for financial institutions</w:t>
            </w:r>
          </w:p>
        </w:tc>
        <w:tc>
          <w:tcPr>
            <w:tcW w:w="2490" w:type="dxa"/>
            <w:vAlign w:val="center"/>
          </w:tcPr>
          <w:p w14:paraId="6BD945E0" w14:textId="77777777" w:rsidR="000E2BB3" w:rsidRDefault="00000000">
            <w:pPr>
              <w:spacing w:before="80" w:after="80"/>
              <w:rPr>
                <w:rFonts w:ascii="Times New Roman" w:eastAsia="Times New Roman" w:hAnsi="Times New Roman" w:cs="Times New Roman"/>
              </w:rPr>
            </w:pPr>
            <w:hyperlink r:id="rId30">
              <w:r>
                <w:rPr>
                  <w:rFonts w:ascii="Times New Roman" w:eastAsia="Times New Roman" w:hAnsi="Times New Roman" w:cs="Times New Roman"/>
                  <w:color w:val="1155CC"/>
                  <w:u w:val="single"/>
                </w:rPr>
                <w:t>https://arxiv.org/abs/2012.09597</w:t>
              </w:r>
            </w:hyperlink>
          </w:p>
        </w:tc>
      </w:tr>
      <w:tr w:rsidR="000E2BB3" w14:paraId="07DE0C01" w14:textId="77777777">
        <w:tc>
          <w:tcPr>
            <w:tcW w:w="600" w:type="dxa"/>
            <w:vAlign w:val="center"/>
          </w:tcPr>
          <w:p w14:paraId="71DA3F0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24</w:t>
            </w:r>
          </w:p>
        </w:tc>
        <w:tc>
          <w:tcPr>
            <w:tcW w:w="1740" w:type="dxa"/>
            <w:vAlign w:val="center"/>
          </w:tcPr>
          <w:p w14:paraId="5CB062A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("sensitive data" OR "personally identifiable information" OR PII) AND (detection OR classification) AND ("structured data" OR tabular OR column)</w:t>
            </w:r>
          </w:p>
        </w:tc>
        <w:tc>
          <w:tcPr>
            <w:tcW w:w="1155" w:type="dxa"/>
            <w:vAlign w:val="center"/>
          </w:tcPr>
          <w:p w14:paraId="75C5979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3854ECB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NYU Law Review (GWU repository)</w:t>
            </w:r>
          </w:p>
        </w:tc>
        <w:tc>
          <w:tcPr>
            <w:tcW w:w="2475" w:type="dxa"/>
            <w:vAlign w:val="center"/>
          </w:tcPr>
          <w:p w14:paraId="2D0A348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PII problem: Privacy and a new concept of personally identifiable information</w:t>
            </w:r>
          </w:p>
        </w:tc>
        <w:tc>
          <w:tcPr>
            <w:tcW w:w="2490" w:type="dxa"/>
            <w:vAlign w:val="center"/>
          </w:tcPr>
          <w:p w14:paraId="7B8DBECF" w14:textId="77777777" w:rsidR="000E2BB3" w:rsidRDefault="00000000">
            <w:pPr>
              <w:spacing w:before="80" w:after="80"/>
              <w:rPr>
                <w:rFonts w:ascii="Times New Roman" w:eastAsia="Times New Roman" w:hAnsi="Times New Roman" w:cs="Times New Roman"/>
              </w:rPr>
            </w:pPr>
            <w:hyperlink r:id="rId31">
              <w:r>
                <w:rPr>
                  <w:rFonts w:ascii="Times New Roman" w:eastAsia="Times New Roman" w:hAnsi="Times New Roman" w:cs="Times New Roman"/>
                  <w:color w:val="1155CC"/>
                  <w:u w:val="single"/>
                </w:rPr>
                <w:t>https://scholarship.law.gwu.edu/faculty_publications/940</w:t>
              </w:r>
            </w:hyperlink>
          </w:p>
        </w:tc>
      </w:tr>
      <w:tr w:rsidR="000E2BB3" w14:paraId="0ABE0D66" w14:textId="77777777">
        <w:tc>
          <w:tcPr>
            <w:tcW w:w="600" w:type="dxa"/>
            <w:vAlign w:val="center"/>
          </w:tcPr>
          <w:p w14:paraId="6C7F3F2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25</w:t>
            </w:r>
          </w:p>
        </w:tc>
        <w:tc>
          <w:tcPr>
            <w:tcW w:w="1740" w:type="dxa"/>
            <w:vAlign w:val="center"/>
          </w:tcPr>
          <w:p w14:paraId="68A5BAB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("privacy" OR "data protection") AND ("data governance" OR "metadata") AND (bank OR banking OR "financial institution")</w:t>
            </w:r>
          </w:p>
        </w:tc>
        <w:tc>
          <w:tcPr>
            <w:tcW w:w="1155" w:type="dxa"/>
            <w:vAlign w:val="center"/>
          </w:tcPr>
          <w:p w14:paraId="38F9D820"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63E519F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Syntax Literate (independent)</w:t>
            </w:r>
          </w:p>
        </w:tc>
        <w:tc>
          <w:tcPr>
            <w:tcW w:w="2475" w:type="dxa"/>
            <w:vAlign w:val="center"/>
          </w:tcPr>
          <w:p w14:paraId="672115F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Enhancing data protection in banking: Implementation and evaluation of an AI-driven system</w:t>
            </w:r>
          </w:p>
        </w:tc>
        <w:tc>
          <w:tcPr>
            <w:tcW w:w="2490" w:type="dxa"/>
            <w:vAlign w:val="center"/>
          </w:tcPr>
          <w:p w14:paraId="7B551971" w14:textId="77777777" w:rsidR="000E2BB3" w:rsidRDefault="00000000">
            <w:pPr>
              <w:spacing w:before="80" w:after="80"/>
              <w:rPr>
                <w:rFonts w:ascii="Times New Roman" w:eastAsia="Times New Roman" w:hAnsi="Times New Roman" w:cs="Times New Roman"/>
              </w:rPr>
            </w:pPr>
            <w:hyperlink r:id="rId32">
              <w:r>
                <w:rPr>
                  <w:rFonts w:ascii="Times New Roman" w:eastAsia="Times New Roman" w:hAnsi="Times New Roman" w:cs="Times New Roman"/>
                  <w:color w:val="1155CC"/>
                  <w:u w:val="single"/>
                </w:rPr>
                <w:t>https://doi.org/10.36418/syntax-literate.v10i11.62337</w:t>
              </w:r>
            </w:hyperlink>
          </w:p>
        </w:tc>
      </w:tr>
      <w:tr w:rsidR="000E2BB3" w14:paraId="28E3BE83" w14:textId="77777777">
        <w:tc>
          <w:tcPr>
            <w:tcW w:w="600" w:type="dxa"/>
            <w:vAlign w:val="center"/>
          </w:tcPr>
          <w:p w14:paraId="3814B39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26</w:t>
            </w:r>
          </w:p>
        </w:tc>
        <w:tc>
          <w:tcPr>
            <w:tcW w:w="1740" w:type="dxa"/>
            <w:vAlign w:val="center"/>
          </w:tcPr>
          <w:p w14:paraId="0D3A377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("privacy" OR "data protection") AND ("data </w:t>
            </w:r>
            <w:r>
              <w:rPr>
                <w:rFonts w:ascii="Times New Roman" w:eastAsia="Times New Roman" w:hAnsi="Times New Roman" w:cs="Times New Roman"/>
              </w:rPr>
              <w:lastRenderedPageBreak/>
              <w:t>governance" OR "metadata") AND (bank OR banking OR "financial institution")</w:t>
            </w:r>
          </w:p>
        </w:tc>
        <w:tc>
          <w:tcPr>
            <w:tcW w:w="1155" w:type="dxa"/>
            <w:vAlign w:val="center"/>
          </w:tcPr>
          <w:p w14:paraId="0D6DBB80"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lastRenderedPageBreak/>
              <w:t>OpenAlex</w:t>
            </w:r>
            <w:proofErr w:type="spellEnd"/>
            <w:r>
              <w:rPr>
                <w:rFonts w:ascii="Times New Roman" w:eastAsia="Times New Roman" w:hAnsi="Times New Roman" w:cs="Times New Roman"/>
              </w:rPr>
              <w:t xml:space="preserve"> API (Boolean)</w:t>
            </w:r>
          </w:p>
        </w:tc>
        <w:tc>
          <w:tcPr>
            <w:tcW w:w="1365" w:type="dxa"/>
            <w:vAlign w:val="center"/>
          </w:tcPr>
          <w:p w14:paraId="45BEE1FC"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Zenodo</w:t>
            </w:r>
            <w:proofErr w:type="spellEnd"/>
            <w:r>
              <w:rPr>
                <w:rFonts w:ascii="Times New Roman" w:eastAsia="Times New Roman" w:hAnsi="Times New Roman" w:cs="Times New Roman"/>
              </w:rPr>
              <w:t xml:space="preserve"> (self-deposit)</w:t>
            </w:r>
          </w:p>
        </w:tc>
        <w:tc>
          <w:tcPr>
            <w:tcW w:w="2475" w:type="dxa"/>
            <w:vAlign w:val="center"/>
          </w:tcPr>
          <w:p w14:paraId="46F05B2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Balancing privacy and compliance: Data protection vs. AML obligations</w:t>
            </w:r>
          </w:p>
        </w:tc>
        <w:tc>
          <w:tcPr>
            <w:tcW w:w="2490" w:type="dxa"/>
            <w:vAlign w:val="center"/>
          </w:tcPr>
          <w:p w14:paraId="0DE51859" w14:textId="77777777" w:rsidR="000E2BB3" w:rsidRDefault="00000000">
            <w:pPr>
              <w:spacing w:before="80" w:after="80"/>
              <w:rPr>
                <w:rFonts w:ascii="Times New Roman" w:eastAsia="Times New Roman" w:hAnsi="Times New Roman" w:cs="Times New Roman"/>
              </w:rPr>
            </w:pPr>
            <w:hyperlink r:id="rId33">
              <w:r>
                <w:rPr>
                  <w:rFonts w:ascii="Times New Roman" w:eastAsia="Times New Roman" w:hAnsi="Times New Roman" w:cs="Times New Roman"/>
                  <w:color w:val="1155CC"/>
                  <w:u w:val="single"/>
                </w:rPr>
                <w:t>https://doi.org/10.5281/zenodo.20257072</w:t>
              </w:r>
            </w:hyperlink>
          </w:p>
        </w:tc>
      </w:tr>
      <w:tr w:rsidR="000E2BB3" w14:paraId="1382A5AA" w14:textId="77777777">
        <w:tc>
          <w:tcPr>
            <w:tcW w:w="600" w:type="dxa"/>
            <w:vAlign w:val="center"/>
          </w:tcPr>
          <w:p w14:paraId="4410799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27</w:t>
            </w:r>
          </w:p>
        </w:tc>
        <w:tc>
          <w:tcPr>
            <w:tcW w:w="1740" w:type="dxa"/>
            <w:vAlign w:val="center"/>
          </w:tcPr>
          <w:p w14:paraId="4714583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(provenance OR "data lineage") AND survey</w:t>
            </w:r>
          </w:p>
        </w:tc>
        <w:tc>
          <w:tcPr>
            <w:tcW w:w="1155" w:type="dxa"/>
            <w:vAlign w:val="center"/>
          </w:tcPr>
          <w:p w14:paraId="7288F3B8"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AFACD7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Global Academic Journal of Economics and Business</w:t>
            </w:r>
          </w:p>
        </w:tc>
        <w:tc>
          <w:tcPr>
            <w:tcW w:w="2475" w:type="dxa"/>
            <w:vAlign w:val="center"/>
          </w:tcPr>
          <w:p w14:paraId="52A8E5D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Agentic AI for autonomous metadata management and enterprise data catalogues</w:t>
            </w:r>
          </w:p>
        </w:tc>
        <w:tc>
          <w:tcPr>
            <w:tcW w:w="2490" w:type="dxa"/>
            <w:vAlign w:val="center"/>
          </w:tcPr>
          <w:p w14:paraId="3485FE89" w14:textId="77777777" w:rsidR="000E2BB3" w:rsidRDefault="00000000">
            <w:pPr>
              <w:spacing w:before="80" w:after="80"/>
              <w:rPr>
                <w:rFonts w:ascii="Times New Roman" w:eastAsia="Times New Roman" w:hAnsi="Times New Roman" w:cs="Times New Roman"/>
              </w:rPr>
            </w:pPr>
            <w:hyperlink r:id="rId34">
              <w:r>
                <w:rPr>
                  <w:rFonts w:ascii="Times New Roman" w:eastAsia="Times New Roman" w:hAnsi="Times New Roman" w:cs="Times New Roman"/>
                  <w:color w:val="1155CC"/>
                  <w:u w:val="single"/>
                </w:rPr>
                <w:t>https://doi.org/10.36348/gajeb.2026.v08i05.021</w:t>
              </w:r>
            </w:hyperlink>
          </w:p>
        </w:tc>
      </w:tr>
      <w:tr w:rsidR="000E2BB3" w14:paraId="6FC98133" w14:textId="77777777">
        <w:tc>
          <w:tcPr>
            <w:tcW w:w="600" w:type="dxa"/>
            <w:vAlign w:val="center"/>
          </w:tcPr>
          <w:p w14:paraId="161A20B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28</w:t>
            </w:r>
          </w:p>
        </w:tc>
        <w:tc>
          <w:tcPr>
            <w:tcW w:w="1740" w:type="dxa"/>
            <w:vAlign w:val="center"/>
          </w:tcPr>
          <w:p w14:paraId="0365913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"k-anonymity" AND (privacy OR model)</w:t>
            </w:r>
          </w:p>
        </w:tc>
        <w:tc>
          <w:tcPr>
            <w:tcW w:w="1155" w:type="dxa"/>
            <w:vAlign w:val="center"/>
          </w:tcPr>
          <w:p w14:paraId="6A803C5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5499097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World Scientific</w:t>
            </w:r>
          </w:p>
        </w:tc>
        <w:tc>
          <w:tcPr>
            <w:tcW w:w="2475" w:type="dxa"/>
            <w:vAlign w:val="center"/>
          </w:tcPr>
          <w:p w14:paraId="0E0CE4D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k-anonymity: A model for protecting privacy</w:t>
            </w:r>
          </w:p>
        </w:tc>
        <w:tc>
          <w:tcPr>
            <w:tcW w:w="2490" w:type="dxa"/>
            <w:vAlign w:val="center"/>
          </w:tcPr>
          <w:p w14:paraId="1FB4A277" w14:textId="77777777" w:rsidR="000E2BB3" w:rsidRDefault="00000000">
            <w:pPr>
              <w:spacing w:before="80" w:after="80"/>
              <w:rPr>
                <w:rFonts w:ascii="Times New Roman" w:eastAsia="Times New Roman" w:hAnsi="Times New Roman" w:cs="Times New Roman"/>
              </w:rPr>
            </w:pPr>
            <w:hyperlink r:id="rId35">
              <w:r>
                <w:rPr>
                  <w:rFonts w:ascii="Times New Roman" w:eastAsia="Times New Roman" w:hAnsi="Times New Roman" w:cs="Times New Roman"/>
                  <w:color w:val="1155CC"/>
                  <w:u w:val="single"/>
                </w:rPr>
                <w:t>https://doi.org/10.1142/S0218488502001648</w:t>
              </w:r>
            </w:hyperlink>
          </w:p>
        </w:tc>
      </w:tr>
      <w:tr w:rsidR="000E2BB3" w14:paraId="0F03B9C2" w14:textId="77777777">
        <w:tc>
          <w:tcPr>
            <w:tcW w:w="600" w:type="dxa"/>
            <w:vAlign w:val="center"/>
          </w:tcPr>
          <w:p w14:paraId="206E76C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29</w:t>
            </w:r>
          </w:p>
        </w:tc>
        <w:tc>
          <w:tcPr>
            <w:tcW w:w="1740" w:type="dxa"/>
            <w:vAlign w:val="center"/>
          </w:tcPr>
          <w:p w14:paraId="48D0079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("re-identification" OR reidentification) AND ("incomplete datasets" OR "generative models")</w:t>
            </w:r>
          </w:p>
        </w:tc>
        <w:tc>
          <w:tcPr>
            <w:tcW w:w="1155" w:type="dxa"/>
            <w:vAlign w:val="center"/>
          </w:tcPr>
          <w:p w14:paraId="6FBEF388"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B91888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 Nature</w:t>
            </w:r>
          </w:p>
        </w:tc>
        <w:tc>
          <w:tcPr>
            <w:tcW w:w="2475" w:type="dxa"/>
            <w:vAlign w:val="center"/>
          </w:tcPr>
          <w:p w14:paraId="692FF1C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Estimating the success of re-identifications in incomplete datasets using generative models</w:t>
            </w:r>
          </w:p>
        </w:tc>
        <w:tc>
          <w:tcPr>
            <w:tcW w:w="2490" w:type="dxa"/>
            <w:vAlign w:val="center"/>
          </w:tcPr>
          <w:p w14:paraId="6F5AF206" w14:textId="77777777" w:rsidR="000E2BB3" w:rsidRDefault="00000000">
            <w:pPr>
              <w:spacing w:before="80" w:after="80"/>
              <w:rPr>
                <w:rFonts w:ascii="Times New Roman" w:eastAsia="Times New Roman" w:hAnsi="Times New Roman" w:cs="Times New Roman"/>
              </w:rPr>
            </w:pPr>
            <w:hyperlink r:id="rId36">
              <w:r>
                <w:rPr>
                  <w:rFonts w:ascii="Times New Roman" w:eastAsia="Times New Roman" w:hAnsi="Times New Roman" w:cs="Times New Roman"/>
                  <w:color w:val="1155CC"/>
                  <w:u w:val="single"/>
                </w:rPr>
                <w:t>https://doi.org/10.1038/s41467-019-10933-3</w:t>
              </w:r>
            </w:hyperlink>
          </w:p>
        </w:tc>
      </w:tr>
      <w:tr w:rsidR="000E2BB3" w14:paraId="142544D3" w14:textId="77777777">
        <w:tc>
          <w:tcPr>
            <w:tcW w:w="600" w:type="dxa"/>
            <w:vAlign w:val="center"/>
          </w:tcPr>
          <w:p w14:paraId="1CF9F86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30</w:t>
            </w:r>
          </w:p>
        </w:tc>
        <w:tc>
          <w:tcPr>
            <w:tcW w:w="1740" w:type="dxa"/>
            <w:vAlign w:val="center"/>
          </w:tcPr>
          <w:p w14:paraId="3CBB78B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("AI governance" OR "artificial intelligence governance") AND (organizational OR </w:t>
            </w:r>
            <w:proofErr w:type="spellStart"/>
            <w:r>
              <w:rPr>
                <w:rFonts w:ascii="Times New Roman" w:eastAsia="Times New Roman" w:hAnsi="Times New Roman" w:cs="Times New Roman"/>
              </w:rPr>
              <w:t>organisational</w:t>
            </w:r>
            <w:proofErr w:type="spellEnd"/>
            <w:r>
              <w:rPr>
                <w:rFonts w:ascii="Times New Roman" w:eastAsia="Times New Roman" w:hAnsi="Times New Roman" w:cs="Times New Roman"/>
              </w:rPr>
              <w:t>) AND definition</w:t>
            </w:r>
          </w:p>
        </w:tc>
        <w:tc>
          <w:tcPr>
            <w:tcW w:w="1155" w:type="dxa"/>
            <w:vAlign w:val="center"/>
          </w:tcPr>
          <w:p w14:paraId="7F12AA2A"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A171B7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3385C15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Defining organizational AI governance</w:t>
            </w:r>
          </w:p>
        </w:tc>
        <w:tc>
          <w:tcPr>
            <w:tcW w:w="2490" w:type="dxa"/>
            <w:vAlign w:val="center"/>
          </w:tcPr>
          <w:p w14:paraId="2D579614" w14:textId="77777777" w:rsidR="000E2BB3" w:rsidRDefault="00000000">
            <w:pPr>
              <w:spacing w:before="80" w:after="80"/>
              <w:rPr>
                <w:rFonts w:ascii="Times New Roman" w:eastAsia="Times New Roman" w:hAnsi="Times New Roman" w:cs="Times New Roman"/>
              </w:rPr>
            </w:pPr>
            <w:hyperlink r:id="rId37">
              <w:r>
                <w:rPr>
                  <w:rFonts w:ascii="Times New Roman" w:eastAsia="Times New Roman" w:hAnsi="Times New Roman" w:cs="Times New Roman"/>
                  <w:color w:val="1155CC"/>
                  <w:u w:val="single"/>
                </w:rPr>
                <w:t>https://doi.org/10.1007/s43681-022-00143-x</w:t>
              </w:r>
            </w:hyperlink>
          </w:p>
        </w:tc>
      </w:tr>
      <w:tr w:rsidR="000E2BB3" w14:paraId="6311ADC0" w14:textId="77777777">
        <w:tc>
          <w:tcPr>
            <w:tcW w:w="600" w:type="dxa"/>
            <w:vAlign w:val="center"/>
          </w:tcPr>
          <w:p w14:paraId="74CE180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31</w:t>
            </w:r>
          </w:p>
        </w:tc>
        <w:tc>
          <w:tcPr>
            <w:tcW w:w="1740" w:type="dxa"/>
            <w:vAlign w:val="center"/>
          </w:tcPr>
          <w:p w14:paraId="217CF2C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("AI governance" OR "artificial intelligence governance") AND (organizational OR </w:t>
            </w:r>
            <w:proofErr w:type="spellStart"/>
            <w:r>
              <w:rPr>
                <w:rFonts w:ascii="Times New Roman" w:eastAsia="Times New Roman" w:hAnsi="Times New Roman" w:cs="Times New Roman"/>
              </w:rPr>
              <w:t>organisational</w:t>
            </w:r>
            <w:proofErr w:type="spellEnd"/>
            <w:r>
              <w:rPr>
                <w:rFonts w:ascii="Times New Roman" w:eastAsia="Times New Roman" w:hAnsi="Times New Roman" w:cs="Times New Roman"/>
              </w:rPr>
              <w:t>) AND definition</w:t>
            </w:r>
          </w:p>
        </w:tc>
        <w:tc>
          <w:tcPr>
            <w:tcW w:w="1155" w:type="dxa"/>
            <w:vAlign w:val="center"/>
          </w:tcPr>
          <w:p w14:paraId="517995BA"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4071E29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Emerald</w:t>
            </w:r>
          </w:p>
        </w:tc>
        <w:tc>
          <w:tcPr>
            <w:tcW w:w="2475" w:type="dxa"/>
            <w:vAlign w:val="center"/>
          </w:tcPr>
          <w:p w14:paraId="6C0E11B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AI governance: Themes, knowledge gaps and future agendas</w:t>
            </w:r>
          </w:p>
        </w:tc>
        <w:tc>
          <w:tcPr>
            <w:tcW w:w="2490" w:type="dxa"/>
            <w:vAlign w:val="center"/>
          </w:tcPr>
          <w:p w14:paraId="72CAA465" w14:textId="77777777" w:rsidR="000E2BB3" w:rsidRDefault="00000000">
            <w:pPr>
              <w:spacing w:before="80" w:after="80"/>
              <w:rPr>
                <w:rFonts w:ascii="Times New Roman" w:eastAsia="Times New Roman" w:hAnsi="Times New Roman" w:cs="Times New Roman"/>
              </w:rPr>
            </w:pPr>
            <w:hyperlink r:id="rId38">
              <w:r>
                <w:rPr>
                  <w:rFonts w:ascii="Times New Roman" w:eastAsia="Times New Roman" w:hAnsi="Times New Roman" w:cs="Times New Roman"/>
                  <w:color w:val="1155CC"/>
                  <w:u w:val="single"/>
                </w:rPr>
                <w:t>https://doi.org/10.1108/INTR-01-2022-0042</w:t>
              </w:r>
            </w:hyperlink>
          </w:p>
        </w:tc>
      </w:tr>
      <w:tr w:rsidR="000E2BB3" w14:paraId="46F130BA" w14:textId="77777777">
        <w:tc>
          <w:tcPr>
            <w:tcW w:w="600" w:type="dxa"/>
            <w:vAlign w:val="center"/>
          </w:tcPr>
          <w:p w14:paraId="384390B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32</w:t>
            </w:r>
          </w:p>
        </w:tc>
        <w:tc>
          <w:tcPr>
            <w:tcW w:w="1740" w:type="dxa"/>
            <w:vAlign w:val="center"/>
          </w:tcPr>
          <w:p w14:paraId="1313A0E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(humans AND automation) AND (misuse OR disuse OR abuse)</w:t>
            </w:r>
          </w:p>
        </w:tc>
        <w:tc>
          <w:tcPr>
            <w:tcW w:w="1155" w:type="dxa"/>
            <w:vAlign w:val="center"/>
          </w:tcPr>
          <w:p w14:paraId="730FE739"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44266FD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SAGE</w:t>
            </w:r>
          </w:p>
        </w:tc>
        <w:tc>
          <w:tcPr>
            <w:tcW w:w="2475" w:type="dxa"/>
            <w:vAlign w:val="center"/>
          </w:tcPr>
          <w:p w14:paraId="119D67C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Humans and automation: Use, misuse, disuse, abuse</w:t>
            </w:r>
          </w:p>
        </w:tc>
        <w:tc>
          <w:tcPr>
            <w:tcW w:w="2490" w:type="dxa"/>
            <w:vAlign w:val="center"/>
          </w:tcPr>
          <w:p w14:paraId="5EA3A4AC" w14:textId="77777777" w:rsidR="000E2BB3" w:rsidRDefault="00000000">
            <w:pPr>
              <w:spacing w:before="80" w:after="80"/>
              <w:rPr>
                <w:rFonts w:ascii="Times New Roman" w:eastAsia="Times New Roman" w:hAnsi="Times New Roman" w:cs="Times New Roman"/>
              </w:rPr>
            </w:pPr>
            <w:hyperlink r:id="rId39">
              <w:r>
                <w:rPr>
                  <w:rFonts w:ascii="Times New Roman" w:eastAsia="Times New Roman" w:hAnsi="Times New Roman" w:cs="Times New Roman"/>
                  <w:color w:val="1155CC"/>
                  <w:u w:val="single"/>
                </w:rPr>
                <w:t>https://doi.org/10.1518/001872097778543886</w:t>
              </w:r>
            </w:hyperlink>
          </w:p>
        </w:tc>
      </w:tr>
      <w:tr w:rsidR="000E2BB3" w14:paraId="7C6EA8E7" w14:textId="77777777">
        <w:tc>
          <w:tcPr>
            <w:tcW w:w="600" w:type="dxa"/>
            <w:vAlign w:val="center"/>
          </w:tcPr>
          <w:p w14:paraId="2DE72C0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33</w:t>
            </w:r>
          </w:p>
        </w:tc>
        <w:tc>
          <w:tcPr>
            <w:tcW w:w="1740" w:type="dxa"/>
            <w:vAlign w:val="center"/>
          </w:tcPr>
          <w:p w14:paraId="18910E4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("automation bias" OR "human-automation") AND (misuse OR trust OR reliance)</w:t>
            </w:r>
          </w:p>
        </w:tc>
        <w:tc>
          <w:tcPr>
            <w:tcW w:w="1155" w:type="dxa"/>
            <w:vAlign w:val="center"/>
          </w:tcPr>
          <w:p w14:paraId="0FDE0F7E"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550509B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Oxford University Press</w:t>
            </w:r>
          </w:p>
        </w:tc>
        <w:tc>
          <w:tcPr>
            <w:tcW w:w="2475" w:type="dxa"/>
            <w:vAlign w:val="center"/>
          </w:tcPr>
          <w:p w14:paraId="3D53CE5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Automation bias: A systematic review of frequency, effect mediators, and mitigators</w:t>
            </w:r>
          </w:p>
        </w:tc>
        <w:tc>
          <w:tcPr>
            <w:tcW w:w="2490" w:type="dxa"/>
            <w:vAlign w:val="center"/>
          </w:tcPr>
          <w:p w14:paraId="531F8CF0" w14:textId="77777777" w:rsidR="000E2BB3" w:rsidRDefault="00000000">
            <w:pPr>
              <w:spacing w:before="80" w:after="80"/>
              <w:rPr>
                <w:rFonts w:ascii="Times New Roman" w:eastAsia="Times New Roman" w:hAnsi="Times New Roman" w:cs="Times New Roman"/>
              </w:rPr>
            </w:pPr>
            <w:hyperlink r:id="rId40">
              <w:r>
                <w:rPr>
                  <w:rFonts w:ascii="Times New Roman" w:eastAsia="Times New Roman" w:hAnsi="Times New Roman" w:cs="Times New Roman"/>
                  <w:color w:val="1155CC"/>
                  <w:u w:val="single"/>
                </w:rPr>
                <w:t>https://doi.org/10.1136/amiajnl-2011-000089</w:t>
              </w:r>
            </w:hyperlink>
          </w:p>
        </w:tc>
      </w:tr>
      <w:tr w:rsidR="000E2BB3" w14:paraId="6F380E01" w14:textId="77777777">
        <w:tc>
          <w:tcPr>
            <w:tcW w:w="600" w:type="dxa"/>
            <w:vAlign w:val="center"/>
          </w:tcPr>
          <w:p w14:paraId="3C529E5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34</w:t>
            </w:r>
          </w:p>
        </w:tc>
        <w:tc>
          <w:tcPr>
            <w:tcW w:w="1740" w:type="dxa"/>
            <w:vAlign w:val="center"/>
          </w:tcPr>
          <w:p w14:paraId="4890D27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governance" AND ("large language model" OR LLM OR "generative AI")</w:t>
            </w:r>
          </w:p>
        </w:tc>
        <w:tc>
          <w:tcPr>
            <w:tcW w:w="1155" w:type="dxa"/>
            <w:vAlign w:val="center"/>
          </w:tcPr>
          <w:p w14:paraId="76E6B97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C65870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AAAI Press</w:t>
            </w:r>
          </w:p>
        </w:tc>
        <w:tc>
          <w:tcPr>
            <w:tcW w:w="2475" w:type="dxa"/>
            <w:vAlign w:val="center"/>
          </w:tcPr>
          <w:p w14:paraId="2DF938E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Automating data governance with generative AI</w:t>
            </w:r>
          </w:p>
        </w:tc>
        <w:tc>
          <w:tcPr>
            <w:tcW w:w="2490" w:type="dxa"/>
            <w:vAlign w:val="center"/>
          </w:tcPr>
          <w:p w14:paraId="4D090CAC" w14:textId="77777777" w:rsidR="000E2BB3" w:rsidRDefault="00000000">
            <w:pPr>
              <w:spacing w:before="80" w:after="80"/>
              <w:rPr>
                <w:rFonts w:ascii="Times New Roman" w:eastAsia="Times New Roman" w:hAnsi="Times New Roman" w:cs="Times New Roman"/>
              </w:rPr>
            </w:pPr>
            <w:hyperlink r:id="rId41">
              <w:r>
                <w:rPr>
                  <w:rFonts w:ascii="Times New Roman" w:eastAsia="Times New Roman" w:hAnsi="Times New Roman" w:cs="Times New Roman"/>
                  <w:color w:val="1155CC"/>
                  <w:u w:val="single"/>
                </w:rPr>
                <w:t>https://doi.org/10.1609/aies.v8i1.36587</w:t>
              </w:r>
            </w:hyperlink>
          </w:p>
        </w:tc>
      </w:tr>
      <w:tr w:rsidR="000E2BB3" w14:paraId="6758E711" w14:textId="77777777">
        <w:tc>
          <w:tcPr>
            <w:tcW w:w="600" w:type="dxa"/>
            <w:vAlign w:val="center"/>
          </w:tcPr>
          <w:p w14:paraId="547E2F4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35</w:t>
            </w:r>
          </w:p>
        </w:tc>
        <w:tc>
          <w:tcPr>
            <w:tcW w:w="1740" w:type="dxa"/>
            <w:vAlign w:val="center"/>
          </w:tcPr>
          <w:p w14:paraId="07E98F3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("privacy policies" OR GDPR) AND (completeness OR compliance) AND ("artificial intelligence" OR "machine learning") AND checking</w:t>
            </w:r>
          </w:p>
        </w:tc>
        <w:tc>
          <w:tcPr>
            <w:tcW w:w="1155" w:type="dxa"/>
            <w:vAlign w:val="center"/>
          </w:tcPr>
          <w:p w14:paraId="2628F113"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0BB53E8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IEEE</w:t>
            </w:r>
          </w:p>
        </w:tc>
        <w:tc>
          <w:tcPr>
            <w:tcW w:w="2475" w:type="dxa"/>
            <w:vAlign w:val="center"/>
          </w:tcPr>
          <w:p w14:paraId="432D2FC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An AI-assisted approach for checking the completeness of privacy policies against GDPR</w:t>
            </w:r>
          </w:p>
        </w:tc>
        <w:tc>
          <w:tcPr>
            <w:tcW w:w="2490" w:type="dxa"/>
            <w:vAlign w:val="center"/>
          </w:tcPr>
          <w:p w14:paraId="378E40CE" w14:textId="77777777" w:rsidR="000E2BB3" w:rsidRDefault="00000000">
            <w:pPr>
              <w:spacing w:before="80" w:after="80"/>
              <w:rPr>
                <w:rFonts w:ascii="Times New Roman" w:eastAsia="Times New Roman" w:hAnsi="Times New Roman" w:cs="Times New Roman"/>
              </w:rPr>
            </w:pPr>
            <w:hyperlink r:id="rId42">
              <w:r>
                <w:rPr>
                  <w:rFonts w:ascii="Times New Roman" w:eastAsia="Times New Roman" w:hAnsi="Times New Roman" w:cs="Times New Roman"/>
                  <w:color w:val="1155CC"/>
                  <w:u w:val="single"/>
                </w:rPr>
                <w:t>https://doi.org/10.1109/RE48521.2020.00025</w:t>
              </w:r>
            </w:hyperlink>
          </w:p>
        </w:tc>
      </w:tr>
      <w:tr w:rsidR="000E2BB3" w14:paraId="6D1639AA" w14:textId="77777777">
        <w:tc>
          <w:tcPr>
            <w:tcW w:w="600" w:type="dxa"/>
            <w:vAlign w:val="center"/>
          </w:tcPr>
          <w:p w14:paraId="58A554E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36</w:t>
            </w:r>
          </w:p>
        </w:tc>
        <w:tc>
          <w:tcPr>
            <w:tcW w:w="1740" w:type="dxa"/>
            <w:vAlign w:val="center"/>
          </w:tcPr>
          <w:p w14:paraId="59B7516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("privacy policies" OR GDPR) AND (completeness OR compliance) AND ("artificial intelligence" OR "machine learning") AND checking</w:t>
            </w:r>
          </w:p>
        </w:tc>
        <w:tc>
          <w:tcPr>
            <w:tcW w:w="1155" w:type="dxa"/>
            <w:vAlign w:val="center"/>
          </w:tcPr>
          <w:p w14:paraId="68BA9F5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5A7F3B3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ACM / IEEE</w:t>
            </w:r>
          </w:p>
        </w:tc>
        <w:tc>
          <w:tcPr>
            <w:tcW w:w="2475" w:type="dxa"/>
            <w:vAlign w:val="center"/>
          </w:tcPr>
          <w:p w14:paraId="5E0FCE26"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CompAi</w:t>
            </w:r>
            <w:proofErr w:type="spellEnd"/>
            <w:r>
              <w:rPr>
                <w:rFonts w:ascii="Times New Roman" w:eastAsia="Times New Roman" w:hAnsi="Times New Roman" w:cs="Times New Roman"/>
              </w:rPr>
              <w:t>: A tool for GDPR completeness checking of privacy policies using artificial intelligence</w:t>
            </w:r>
          </w:p>
        </w:tc>
        <w:tc>
          <w:tcPr>
            <w:tcW w:w="2490" w:type="dxa"/>
            <w:vAlign w:val="center"/>
          </w:tcPr>
          <w:p w14:paraId="1F647CD8" w14:textId="77777777" w:rsidR="000E2BB3" w:rsidRDefault="00000000">
            <w:pPr>
              <w:spacing w:before="80" w:after="80"/>
              <w:rPr>
                <w:rFonts w:ascii="Times New Roman" w:eastAsia="Times New Roman" w:hAnsi="Times New Roman" w:cs="Times New Roman"/>
              </w:rPr>
            </w:pPr>
            <w:hyperlink r:id="rId43">
              <w:r>
                <w:rPr>
                  <w:rFonts w:ascii="Times New Roman" w:eastAsia="Times New Roman" w:hAnsi="Times New Roman" w:cs="Times New Roman"/>
                  <w:color w:val="1155CC"/>
                  <w:u w:val="single"/>
                </w:rPr>
                <w:t>https://doi.org/10.1145/3691620.3695353</w:t>
              </w:r>
            </w:hyperlink>
          </w:p>
        </w:tc>
      </w:tr>
      <w:tr w:rsidR="000E2BB3" w14:paraId="57A63DCE" w14:textId="77777777">
        <w:tc>
          <w:tcPr>
            <w:tcW w:w="600" w:type="dxa"/>
            <w:vAlign w:val="center"/>
          </w:tcPr>
          <w:p w14:paraId="08AF2EB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37</w:t>
            </w:r>
          </w:p>
        </w:tc>
        <w:tc>
          <w:tcPr>
            <w:tcW w:w="1740" w:type="dxa"/>
            <w:vAlign w:val="center"/>
          </w:tcPr>
          <w:p w14:paraId="43A0C56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"Model Context Protocol" AND (security OR threats)</w:t>
            </w:r>
          </w:p>
        </w:tc>
        <w:tc>
          <w:tcPr>
            <w:tcW w:w="1155" w:type="dxa"/>
            <w:vAlign w:val="center"/>
          </w:tcPr>
          <w:p w14:paraId="09C2CC5B"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112665C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ACM</w:t>
            </w:r>
          </w:p>
        </w:tc>
        <w:tc>
          <w:tcPr>
            <w:tcW w:w="2475" w:type="dxa"/>
            <w:vAlign w:val="center"/>
          </w:tcPr>
          <w:p w14:paraId="091C196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Model Context Protocol (MCP): Landscape, security threats, and future research directions</w:t>
            </w:r>
          </w:p>
        </w:tc>
        <w:tc>
          <w:tcPr>
            <w:tcW w:w="2490" w:type="dxa"/>
            <w:vAlign w:val="center"/>
          </w:tcPr>
          <w:p w14:paraId="16084E08" w14:textId="77777777" w:rsidR="000E2BB3" w:rsidRDefault="00000000">
            <w:pPr>
              <w:spacing w:before="80" w:after="80"/>
              <w:rPr>
                <w:rFonts w:ascii="Times New Roman" w:eastAsia="Times New Roman" w:hAnsi="Times New Roman" w:cs="Times New Roman"/>
              </w:rPr>
            </w:pPr>
            <w:hyperlink r:id="rId44">
              <w:r>
                <w:rPr>
                  <w:rFonts w:ascii="Times New Roman" w:eastAsia="Times New Roman" w:hAnsi="Times New Roman" w:cs="Times New Roman"/>
                  <w:color w:val="1155CC"/>
                  <w:u w:val="single"/>
                </w:rPr>
                <w:t>https://doi.org/10.1145/3796519</w:t>
              </w:r>
            </w:hyperlink>
          </w:p>
        </w:tc>
      </w:tr>
      <w:tr w:rsidR="000E2BB3" w14:paraId="4C6214DB" w14:textId="77777777">
        <w:tc>
          <w:tcPr>
            <w:tcW w:w="600" w:type="dxa"/>
            <w:vAlign w:val="center"/>
          </w:tcPr>
          <w:p w14:paraId="1F9DEAD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38</w:t>
            </w:r>
          </w:p>
        </w:tc>
        <w:tc>
          <w:tcPr>
            <w:tcW w:w="1740" w:type="dxa"/>
            <w:vAlign w:val="center"/>
          </w:tcPr>
          <w:p w14:paraId="08462BB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"Model Context Protocol" AND (security OR threats)</w:t>
            </w:r>
          </w:p>
        </w:tc>
        <w:tc>
          <w:tcPr>
            <w:tcW w:w="1155" w:type="dxa"/>
            <w:vAlign w:val="center"/>
          </w:tcPr>
          <w:p w14:paraId="0708ED5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7C8704B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Springer</w:t>
            </w:r>
          </w:p>
        </w:tc>
        <w:tc>
          <w:tcPr>
            <w:tcW w:w="2475" w:type="dxa"/>
            <w:vAlign w:val="center"/>
          </w:tcPr>
          <w:p w14:paraId="62CCCAF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Systematization of knowledge: Security and safety in the Model </w:t>
            </w:r>
            <w:r>
              <w:rPr>
                <w:rFonts w:ascii="Times New Roman" w:eastAsia="Times New Roman" w:hAnsi="Times New Roman" w:cs="Times New Roman"/>
              </w:rPr>
              <w:lastRenderedPageBreak/>
              <w:t>Context Protocol ecosystem</w:t>
            </w:r>
          </w:p>
        </w:tc>
        <w:tc>
          <w:tcPr>
            <w:tcW w:w="2490" w:type="dxa"/>
            <w:vAlign w:val="center"/>
          </w:tcPr>
          <w:p w14:paraId="6592D0D3" w14:textId="77777777" w:rsidR="000E2BB3" w:rsidRDefault="00000000">
            <w:pPr>
              <w:spacing w:before="80" w:after="80"/>
              <w:rPr>
                <w:rFonts w:ascii="Times New Roman" w:eastAsia="Times New Roman" w:hAnsi="Times New Roman" w:cs="Times New Roman"/>
              </w:rPr>
            </w:pPr>
            <w:hyperlink r:id="rId45">
              <w:r>
                <w:rPr>
                  <w:rFonts w:ascii="Times New Roman" w:eastAsia="Times New Roman" w:hAnsi="Times New Roman" w:cs="Times New Roman"/>
                  <w:color w:val="1155CC"/>
                  <w:u w:val="single"/>
                </w:rPr>
                <w:t>https://doi.org/10.1007/978-3-032-32726-0_29</w:t>
              </w:r>
            </w:hyperlink>
          </w:p>
        </w:tc>
      </w:tr>
      <w:tr w:rsidR="000E2BB3" w14:paraId="2CB4360E" w14:textId="77777777">
        <w:tc>
          <w:tcPr>
            <w:tcW w:w="600" w:type="dxa"/>
            <w:vAlign w:val="center"/>
          </w:tcPr>
          <w:p w14:paraId="69C6E61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39</w:t>
            </w:r>
          </w:p>
        </w:tc>
        <w:tc>
          <w:tcPr>
            <w:tcW w:w="1740" w:type="dxa"/>
            <w:vAlign w:val="center"/>
          </w:tcPr>
          <w:p w14:paraId="0E767DC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("attribute-based access control" OR ABAC) AND (policy OR tags) AND (data OR privacy)</w:t>
            </w:r>
          </w:p>
        </w:tc>
        <w:tc>
          <w:tcPr>
            <w:tcW w:w="1155" w:type="dxa"/>
            <w:vAlign w:val="center"/>
          </w:tcPr>
          <w:p w14:paraId="72C38784"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5232BF7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IEEE</w:t>
            </w:r>
          </w:p>
        </w:tc>
        <w:tc>
          <w:tcPr>
            <w:tcW w:w="2475" w:type="dxa"/>
            <w:vAlign w:val="center"/>
          </w:tcPr>
          <w:p w14:paraId="7FE7793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Mining attribute-based access control policies</w:t>
            </w:r>
          </w:p>
        </w:tc>
        <w:tc>
          <w:tcPr>
            <w:tcW w:w="2490" w:type="dxa"/>
            <w:vAlign w:val="center"/>
          </w:tcPr>
          <w:p w14:paraId="6E221608" w14:textId="77777777" w:rsidR="000E2BB3" w:rsidRDefault="00000000">
            <w:pPr>
              <w:spacing w:before="80" w:after="80"/>
              <w:rPr>
                <w:rFonts w:ascii="Times New Roman" w:eastAsia="Times New Roman" w:hAnsi="Times New Roman" w:cs="Times New Roman"/>
              </w:rPr>
            </w:pPr>
            <w:hyperlink r:id="rId46">
              <w:r>
                <w:rPr>
                  <w:rFonts w:ascii="Times New Roman" w:eastAsia="Times New Roman" w:hAnsi="Times New Roman" w:cs="Times New Roman"/>
                  <w:color w:val="1155CC"/>
                  <w:u w:val="single"/>
                </w:rPr>
                <w:t>https://doi.org/10.1109/TDSC.2014.2369048</w:t>
              </w:r>
            </w:hyperlink>
          </w:p>
        </w:tc>
      </w:tr>
      <w:tr w:rsidR="000E2BB3" w14:paraId="7EFF2DC7" w14:textId="77777777">
        <w:tc>
          <w:tcPr>
            <w:tcW w:w="600" w:type="dxa"/>
            <w:vAlign w:val="center"/>
          </w:tcPr>
          <w:p w14:paraId="188A886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40</w:t>
            </w:r>
          </w:p>
        </w:tc>
        <w:tc>
          <w:tcPr>
            <w:tcW w:w="1740" w:type="dxa"/>
            <w:vAlign w:val="center"/>
          </w:tcPr>
          <w:p w14:paraId="159EF48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("sensitive data" OR "personally identifiable information" OR PII) AND (detection OR classification) AND ("structured data" OR tabular OR column)</w:t>
            </w:r>
          </w:p>
        </w:tc>
        <w:tc>
          <w:tcPr>
            <w:tcW w:w="1155" w:type="dxa"/>
            <w:vAlign w:val="center"/>
          </w:tcPr>
          <w:p w14:paraId="0E17286C"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OpenAlex</w:t>
            </w:r>
            <w:proofErr w:type="spellEnd"/>
            <w:r>
              <w:rPr>
                <w:rFonts w:ascii="Times New Roman" w:eastAsia="Times New Roman" w:hAnsi="Times New Roman" w:cs="Times New Roman"/>
              </w:rPr>
              <w:t xml:space="preserve"> API (Boolean)</w:t>
            </w:r>
          </w:p>
        </w:tc>
        <w:tc>
          <w:tcPr>
            <w:tcW w:w="1365" w:type="dxa"/>
            <w:vAlign w:val="center"/>
          </w:tcPr>
          <w:p w14:paraId="2976811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International Potato Center (Dataverse)</w:t>
            </w:r>
          </w:p>
        </w:tc>
        <w:tc>
          <w:tcPr>
            <w:tcW w:w="2475" w:type="dxa"/>
            <w:vAlign w:val="center"/>
          </w:tcPr>
          <w:p w14:paraId="4244131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PresidioMCP</w:t>
            </w:r>
            <w:proofErr w:type="spellEnd"/>
            <w:r>
              <w:rPr>
                <w:rFonts w:ascii="Times New Roman" w:eastAsia="Times New Roman" w:hAnsi="Times New Roman" w:cs="Times New Roman"/>
              </w:rPr>
              <w:t xml:space="preserve">: Restricted </w:t>
            </w:r>
            <w:proofErr w:type="spellStart"/>
            <w:r>
              <w:rPr>
                <w:rFonts w:ascii="Times New Roman" w:eastAsia="Times New Roman" w:hAnsi="Times New Roman" w:cs="Times New Roman"/>
              </w:rPr>
              <w:t>FastMCP</w:t>
            </w:r>
            <w:proofErr w:type="spellEnd"/>
            <w:r>
              <w:rPr>
                <w:rFonts w:ascii="Times New Roman" w:eastAsia="Times New Roman" w:hAnsi="Times New Roman" w:cs="Times New Roman"/>
              </w:rPr>
              <w:t xml:space="preserve"> server for detecting and pseudonymizing PII in tabular data</w:t>
            </w:r>
          </w:p>
        </w:tc>
        <w:tc>
          <w:tcPr>
            <w:tcW w:w="2490" w:type="dxa"/>
            <w:vAlign w:val="center"/>
          </w:tcPr>
          <w:p w14:paraId="489E6115" w14:textId="77777777" w:rsidR="000E2BB3" w:rsidRDefault="00000000">
            <w:pPr>
              <w:spacing w:before="80" w:after="80"/>
              <w:rPr>
                <w:rFonts w:ascii="Times New Roman" w:eastAsia="Times New Roman" w:hAnsi="Times New Roman" w:cs="Times New Roman"/>
              </w:rPr>
            </w:pPr>
            <w:hyperlink r:id="rId47">
              <w:r>
                <w:rPr>
                  <w:rFonts w:ascii="Times New Roman" w:eastAsia="Times New Roman" w:hAnsi="Times New Roman" w:cs="Times New Roman"/>
                  <w:color w:val="1155CC"/>
                  <w:u w:val="single"/>
                </w:rPr>
                <w:t>https://doi.org/10.21223/p3/dx5mwo</w:t>
              </w:r>
            </w:hyperlink>
          </w:p>
        </w:tc>
      </w:tr>
      <w:tr w:rsidR="000E2BB3" w14:paraId="0488C654" w14:textId="77777777">
        <w:tc>
          <w:tcPr>
            <w:tcW w:w="600" w:type="dxa"/>
            <w:vAlign w:val="center"/>
          </w:tcPr>
          <w:p w14:paraId="1E8C329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41</w:t>
            </w:r>
          </w:p>
        </w:tc>
        <w:tc>
          <w:tcPr>
            <w:tcW w:w="1740" w:type="dxa"/>
            <w:vAlign w:val="center"/>
          </w:tcPr>
          <w:p w14:paraId="037E8C8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"DAMA-DMBOK" AND "2nd edition" AND revised AND ISBN</w:t>
            </w:r>
          </w:p>
        </w:tc>
        <w:tc>
          <w:tcPr>
            <w:tcW w:w="1155" w:type="dxa"/>
            <w:vAlign w:val="center"/>
          </w:tcPr>
          <w:p w14:paraId="28E1C23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77E4105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Technics Publications</w:t>
            </w:r>
          </w:p>
        </w:tc>
        <w:tc>
          <w:tcPr>
            <w:tcW w:w="2475" w:type="dxa"/>
            <w:vAlign w:val="center"/>
          </w:tcPr>
          <w:p w14:paraId="0353D67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DAMA-DMBOK: Data Management Body of Knowledge, 2nd ed., revised</w:t>
            </w:r>
          </w:p>
        </w:tc>
        <w:tc>
          <w:tcPr>
            <w:tcW w:w="2490" w:type="dxa"/>
            <w:vAlign w:val="center"/>
          </w:tcPr>
          <w:p w14:paraId="425651B1" w14:textId="77777777" w:rsidR="000E2BB3" w:rsidRDefault="00000000">
            <w:pPr>
              <w:spacing w:before="80" w:after="80"/>
              <w:rPr>
                <w:rFonts w:ascii="Times New Roman" w:eastAsia="Times New Roman" w:hAnsi="Times New Roman" w:cs="Times New Roman"/>
              </w:rPr>
            </w:pPr>
            <w:hyperlink r:id="rId48">
              <w:r>
                <w:rPr>
                  <w:rFonts w:ascii="Times New Roman" w:eastAsia="Times New Roman" w:hAnsi="Times New Roman" w:cs="Times New Roman"/>
                  <w:color w:val="1155CC"/>
                  <w:u w:val="single"/>
                </w:rPr>
                <w:t>https://bibliotek.nav.no/record/5716</w:t>
              </w:r>
            </w:hyperlink>
          </w:p>
        </w:tc>
      </w:tr>
      <w:tr w:rsidR="000E2BB3" w14:paraId="31C714C7" w14:textId="77777777">
        <w:tc>
          <w:tcPr>
            <w:tcW w:w="600" w:type="dxa"/>
            <w:vAlign w:val="center"/>
          </w:tcPr>
          <w:p w14:paraId="0E2D328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42</w:t>
            </w:r>
          </w:p>
        </w:tc>
        <w:tc>
          <w:tcPr>
            <w:tcW w:w="1740" w:type="dxa"/>
            <w:vAlign w:val="center"/>
          </w:tcPr>
          <w:p w14:paraId="76F8066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Kimball AND Ross AND "Data Warehouse Toolkit" AND "3rd edition"</w:t>
            </w:r>
          </w:p>
        </w:tc>
        <w:tc>
          <w:tcPr>
            <w:tcW w:w="1155" w:type="dxa"/>
            <w:vAlign w:val="center"/>
          </w:tcPr>
          <w:p w14:paraId="2419D74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0E64E4C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Wiley</w:t>
            </w:r>
          </w:p>
        </w:tc>
        <w:tc>
          <w:tcPr>
            <w:tcW w:w="2475" w:type="dxa"/>
            <w:vAlign w:val="center"/>
          </w:tcPr>
          <w:p w14:paraId="4FA8CD2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Data Warehouse Toolkit: The Definitive Guide to Dimensional Modeling, 3rd ed.</w:t>
            </w:r>
          </w:p>
        </w:tc>
        <w:tc>
          <w:tcPr>
            <w:tcW w:w="2490" w:type="dxa"/>
            <w:vAlign w:val="center"/>
          </w:tcPr>
          <w:p w14:paraId="19D23EFC" w14:textId="77777777" w:rsidR="000E2BB3" w:rsidRDefault="00000000">
            <w:pPr>
              <w:spacing w:before="80" w:after="80"/>
              <w:rPr>
                <w:rFonts w:ascii="Times New Roman" w:eastAsia="Times New Roman" w:hAnsi="Times New Roman" w:cs="Times New Roman"/>
              </w:rPr>
            </w:pPr>
            <w:hyperlink r:id="rId49">
              <w:r>
                <w:rPr>
                  <w:rFonts w:ascii="Times New Roman" w:eastAsia="Times New Roman" w:hAnsi="Times New Roman" w:cs="Times New Roman"/>
                  <w:color w:val="1155CC"/>
                  <w:u w:val="single"/>
                </w:rPr>
                <w:t>https://www.oreilly.com/library/view/the-data-warehouse/9781118530801/</w:t>
              </w:r>
            </w:hyperlink>
          </w:p>
        </w:tc>
      </w:tr>
      <w:tr w:rsidR="000E2BB3" w14:paraId="42C0E986" w14:textId="77777777">
        <w:tc>
          <w:tcPr>
            <w:tcW w:w="600" w:type="dxa"/>
            <w:vAlign w:val="center"/>
          </w:tcPr>
          <w:p w14:paraId="3D74D7D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43</w:t>
            </w:r>
          </w:p>
        </w:tc>
        <w:tc>
          <w:tcPr>
            <w:tcW w:w="1740" w:type="dxa"/>
            <w:vAlign w:val="center"/>
          </w:tcPr>
          <w:p w14:paraId="4689C3E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"Driving Data Quality with Data Contracts" AND </w:t>
            </w:r>
            <w:proofErr w:type="spellStart"/>
            <w:r>
              <w:rPr>
                <w:rFonts w:ascii="Times New Roman" w:eastAsia="Times New Roman" w:hAnsi="Times New Roman" w:cs="Times New Roman"/>
              </w:rPr>
              <w:t>Packt</w:t>
            </w:r>
            <w:proofErr w:type="spellEnd"/>
          </w:p>
        </w:tc>
        <w:tc>
          <w:tcPr>
            <w:tcW w:w="1155" w:type="dxa"/>
            <w:vAlign w:val="center"/>
          </w:tcPr>
          <w:p w14:paraId="2E2E2CF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3C80FA92"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Packt</w:t>
            </w:r>
            <w:proofErr w:type="spellEnd"/>
            <w:r>
              <w:rPr>
                <w:rFonts w:ascii="Times New Roman" w:eastAsia="Times New Roman" w:hAnsi="Times New Roman" w:cs="Times New Roman"/>
              </w:rPr>
              <w:t xml:space="preserve"> Publishing</w:t>
            </w:r>
          </w:p>
        </w:tc>
        <w:tc>
          <w:tcPr>
            <w:tcW w:w="2475" w:type="dxa"/>
            <w:vAlign w:val="center"/>
          </w:tcPr>
          <w:p w14:paraId="3B1974E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Driving Data Quality with Data Contracts</w:t>
            </w:r>
          </w:p>
        </w:tc>
        <w:tc>
          <w:tcPr>
            <w:tcW w:w="2490" w:type="dxa"/>
            <w:vAlign w:val="center"/>
          </w:tcPr>
          <w:p w14:paraId="5AA68ECB" w14:textId="77777777" w:rsidR="000E2BB3" w:rsidRDefault="00000000">
            <w:pPr>
              <w:spacing w:before="80" w:after="80"/>
              <w:rPr>
                <w:rFonts w:ascii="Times New Roman" w:eastAsia="Times New Roman" w:hAnsi="Times New Roman" w:cs="Times New Roman"/>
              </w:rPr>
            </w:pPr>
            <w:hyperlink r:id="rId50">
              <w:r>
                <w:rPr>
                  <w:rFonts w:ascii="Times New Roman" w:eastAsia="Times New Roman" w:hAnsi="Times New Roman" w:cs="Times New Roman"/>
                  <w:color w:val="1155CC"/>
                  <w:u w:val="single"/>
                </w:rPr>
                <w:t>https://www.oreilly.com/library/view/driving-data-quality/9781837635009/</w:t>
              </w:r>
            </w:hyperlink>
          </w:p>
        </w:tc>
      </w:tr>
      <w:tr w:rsidR="000E2BB3" w14:paraId="3889F5C7" w14:textId="77777777">
        <w:tc>
          <w:tcPr>
            <w:tcW w:w="600" w:type="dxa"/>
            <w:vAlign w:val="center"/>
          </w:tcPr>
          <w:p w14:paraId="7DCB831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44</w:t>
            </w:r>
          </w:p>
        </w:tc>
        <w:tc>
          <w:tcPr>
            <w:tcW w:w="1740" w:type="dxa"/>
            <w:vAlign w:val="center"/>
          </w:tcPr>
          <w:p w14:paraId="0371A35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Mesh" AND Dehghani AND "federated computational governance"</w:t>
            </w:r>
          </w:p>
        </w:tc>
        <w:tc>
          <w:tcPr>
            <w:tcW w:w="1155" w:type="dxa"/>
            <w:vAlign w:val="center"/>
          </w:tcPr>
          <w:p w14:paraId="3992FB5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56C048A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O'Reilly Media</w:t>
            </w:r>
          </w:p>
        </w:tc>
        <w:tc>
          <w:tcPr>
            <w:tcW w:w="2475" w:type="dxa"/>
            <w:vAlign w:val="center"/>
          </w:tcPr>
          <w:p w14:paraId="29B06D5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Mesh: Delivering Data-Driven Value at Scale</w:t>
            </w:r>
          </w:p>
        </w:tc>
        <w:tc>
          <w:tcPr>
            <w:tcW w:w="2490" w:type="dxa"/>
            <w:vAlign w:val="center"/>
          </w:tcPr>
          <w:p w14:paraId="706046D3" w14:textId="77777777" w:rsidR="000E2BB3" w:rsidRDefault="00000000">
            <w:pPr>
              <w:spacing w:before="80" w:after="80"/>
              <w:rPr>
                <w:rFonts w:ascii="Times New Roman" w:eastAsia="Times New Roman" w:hAnsi="Times New Roman" w:cs="Times New Roman"/>
              </w:rPr>
            </w:pPr>
            <w:hyperlink r:id="rId51">
              <w:r>
                <w:rPr>
                  <w:rFonts w:ascii="Times New Roman" w:eastAsia="Times New Roman" w:hAnsi="Times New Roman" w:cs="Times New Roman"/>
                  <w:color w:val="1155CC"/>
                  <w:u w:val="single"/>
                </w:rPr>
                <w:t>https://bookshare.org/browse/book/6424476</w:t>
              </w:r>
            </w:hyperlink>
          </w:p>
        </w:tc>
      </w:tr>
      <w:tr w:rsidR="000E2BB3" w14:paraId="43F66414" w14:textId="77777777">
        <w:tc>
          <w:tcPr>
            <w:tcW w:w="600" w:type="dxa"/>
            <w:vAlign w:val="center"/>
          </w:tcPr>
          <w:p w14:paraId="1FA6A72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45</w:t>
            </w:r>
          </w:p>
        </w:tc>
        <w:tc>
          <w:tcPr>
            <w:tcW w:w="1740" w:type="dxa"/>
            <w:vAlign w:val="center"/>
          </w:tcPr>
          <w:p w14:paraId="5766CD5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("sensitive information" OR "sensitive data") AND detection AND ("neural network" OR context)</w:t>
            </w:r>
          </w:p>
        </w:tc>
        <w:tc>
          <w:tcPr>
            <w:tcW w:w="1155" w:type="dxa"/>
            <w:vAlign w:val="center"/>
          </w:tcPr>
          <w:p w14:paraId="1DE17F5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Google Patents</w:t>
            </w:r>
          </w:p>
        </w:tc>
        <w:tc>
          <w:tcPr>
            <w:tcW w:w="1365" w:type="dxa"/>
            <w:vAlign w:val="center"/>
          </w:tcPr>
          <w:p w14:paraId="6EDE1D0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USPTO (IBM)</w:t>
            </w:r>
          </w:p>
        </w:tc>
        <w:tc>
          <w:tcPr>
            <w:tcW w:w="2475" w:type="dxa"/>
            <w:vAlign w:val="center"/>
          </w:tcPr>
          <w:p w14:paraId="5A0D07E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Context aware sensitive information detection (US 10,984,316 B2)</w:t>
            </w:r>
          </w:p>
        </w:tc>
        <w:tc>
          <w:tcPr>
            <w:tcW w:w="2490" w:type="dxa"/>
            <w:vAlign w:val="center"/>
          </w:tcPr>
          <w:p w14:paraId="40F64D0B" w14:textId="77777777" w:rsidR="000E2BB3" w:rsidRDefault="00000000">
            <w:pPr>
              <w:spacing w:before="80" w:after="80"/>
              <w:rPr>
                <w:rFonts w:ascii="Times New Roman" w:eastAsia="Times New Roman" w:hAnsi="Times New Roman" w:cs="Times New Roman"/>
              </w:rPr>
            </w:pPr>
            <w:hyperlink r:id="rId52">
              <w:r>
                <w:rPr>
                  <w:rFonts w:ascii="Times New Roman" w:eastAsia="Times New Roman" w:hAnsi="Times New Roman" w:cs="Times New Roman"/>
                  <w:color w:val="1155CC"/>
                  <w:u w:val="single"/>
                </w:rPr>
                <w:t>https://patents.google.com/patent/US10984316B2/en</w:t>
              </w:r>
            </w:hyperlink>
          </w:p>
        </w:tc>
      </w:tr>
      <w:tr w:rsidR="000E2BB3" w14:paraId="757C0542" w14:textId="77777777">
        <w:tc>
          <w:tcPr>
            <w:tcW w:w="600" w:type="dxa"/>
            <w:vAlign w:val="center"/>
          </w:tcPr>
          <w:p w14:paraId="5E6A3F3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46</w:t>
            </w:r>
          </w:p>
        </w:tc>
        <w:tc>
          <w:tcPr>
            <w:tcW w:w="1740" w:type="dxa"/>
            <w:vAlign w:val="center"/>
          </w:tcPr>
          <w:p w14:paraId="2D08D72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("personal information" OR PII) AND "confidence level" AND "machine learning"</w:t>
            </w:r>
          </w:p>
        </w:tc>
        <w:tc>
          <w:tcPr>
            <w:tcW w:w="1155" w:type="dxa"/>
            <w:vAlign w:val="center"/>
          </w:tcPr>
          <w:p w14:paraId="4733FF9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Google Patents</w:t>
            </w:r>
          </w:p>
        </w:tc>
        <w:tc>
          <w:tcPr>
            <w:tcW w:w="1365" w:type="dxa"/>
            <w:vAlign w:val="center"/>
          </w:tcPr>
          <w:p w14:paraId="30E2063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USPTO (</w:t>
            </w:r>
            <w:proofErr w:type="spellStart"/>
            <w:r>
              <w:rPr>
                <w:rFonts w:ascii="Times New Roman" w:eastAsia="Times New Roman" w:hAnsi="Times New Roman" w:cs="Times New Roman"/>
              </w:rPr>
              <w:t>BigID</w:t>
            </w:r>
            <w:proofErr w:type="spellEnd"/>
            <w:r>
              <w:rPr>
                <w:rFonts w:ascii="Times New Roman" w:eastAsia="Times New Roman" w:hAnsi="Times New Roman" w:cs="Times New Roman"/>
              </w:rPr>
              <w:t>)</w:t>
            </w:r>
          </w:p>
        </w:tc>
        <w:tc>
          <w:tcPr>
            <w:tcW w:w="2475" w:type="dxa"/>
            <w:vAlign w:val="center"/>
          </w:tcPr>
          <w:p w14:paraId="6A14960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Machine learning system and methods for determining confidence levels of personal information findings (US 11,113,633 B2)</w:t>
            </w:r>
          </w:p>
        </w:tc>
        <w:tc>
          <w:tcPr>
            <w:tcW w:w="2490" w:type="dxa"/>
            <w:vAlign w:val="center"/>
          </w:tcPr>
          <w:p w14:paraId="32CCCA5C" w14:textId="77777777" w:rsidR="000E2BB3" w:rsidRDefault="00000000">
            <w:pPr>
              <w:spacing w:before="80" w:after="80"/>
              <w:rPr>
                <w:rFonts w:ascii="Times New Roman" w:eastAsia="Times New Roman" w:hAnsi="Times New Roman" w:cs="Times New Roman"/>
              </w:rPr>
            </w:pPr>
            <w:hyperlink r:id="rId53">
              <w:r>
                <w:rPr>
                  <w:rFonts w:ascii="Times New Roman" w:eastAsia="Times New Roman" w:hAnsi="Times New Roman" w:cs="Times New Roman"/>
                  <w:color w:val="1155CC"/>
                  <w:u w:val="single"/>
                </w:rPr>
                <w:t>https://patents.google.com/patent/US11113633B2/en</w:t>
              </w:r>
            </w:hyperlink>
          </w:p>
        </w:tc>
      </w:tr>
      <w:tr w:rsidR="000E2BB3" w14:paraId="0D82C9CD" w14:textId="77777777">
        <w:tc>
          <w:tcPr>
            <w:tcW w:w="600" w:type="dxa"/>
            <w:vAlign w:val="center"/>
          </w:tcPr>
          <w:p w14:paraId="31E2AD0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47</w:t>
            </w:r>
          </w:p>
        </w:tc>
        <w:tc>
          <w:tcPr>
            <w:tcW w:w="1740" w:type="dxa"/>
            <w:vAlign w:val="center"/>
          </w:tcPr>
          <w:p w14:paraId="6014257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lineage AND tag AND ("access control" OR policy) AND (masking OR PII)</w:t>
            </w:r>
          </w:p>
        </w:tc>
        <w:tc>
          <w:tcPr>
            <w:tcW w:w="1155" w:type="dxa"/>
            <w:vAlign w:val="center"/>
          </w:tcPr>
          <w:p w14:paraId="7FEEADE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Google Patents</w:t>
            </w:r>
          </w:p>
        </w:tc>
        <w:tc>
          <w:tcPr>
            <w:tcW w:w="1365" w:type="dxa"/>
            <w:vAlign w:val="center"/>
          </w:tcPr>
          <w:p w14:paraId="02928F6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USPTO (Hitachi)</w:t>
            </w:r>
          </w:p>
        </w:tc>
        <w:tc>
          <w:tcPr>
            <w:tcW w:w="2475" w:type="dxa"/>
            <w:vAlign w:val="center"/>
          </w:tcPr>
          <w:p w14:paraId="4B94081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access control system and data access control method (US 11,556,661 B2)</w:t>
            </w:r>
          </w:p>
        </w:tc>
        <w:tc>
          <w:tcPr>
            <w:tcW w:w="2490" w:type="dxa"/>
            <w:vAlign w:val="center"/>
          </w:tcPr>
          <w:p w14:paraId="0907DBAA" w14:textId="77777777" w:rsidR="000E2BB3" w:rsidRDefault="00000000">
            <w:pPr>
              <w:spacing w:before="80" w:after="80"/>
              <w:rPr>
                <w:rFonts w:ascii="Times New Roman" w:eastAsia="Times New Roman" w:hAnsi="Times New Roman" w:cs="Times New Roman"/>
              </w:rPr>
            </w:pPr>
            <w:hyperlink r:id="rId54">
              <w:r>
                <w:rPr>
                  <w:rFonts w:ascii="Times New Roman" w:eastAsia="Times New Roman" w:hAnsi="Times New Roman" w:cs="Times New Roman"/>
                  <w:color w:val="1155CC"/>
                  <w:u w:val="single"/>
                </w:rPr>
                <w:t>https://patents.google.com/patent/US11556661B2/en</w:t>
              </w:r>
            </w:hyperlink>
          </w:p>
        </w:tc>
      </w:tr>
      <w:tr w:rsidR="000E2BB3" w14:paraId="19D56569" w14:textId="77777777">
        <w:tc>
          <w:tcPr>
            <w:tcW w:w="600" w:type="dxa"/>
            <w:vAlign w:val="center"/>
          </w:tcPr>
          <w:p w14:paraId="6D84640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48</w:t>
            </w:r>
          </w:p>
        </w:tc>
        <w:tc>
          <w:tcPr>
            <w:tcW w:w="1740" w:type="dxa"/>
            <w:vAlign w:val="center"/>
          </w:tcPr>
          <w:p w14:paraId="0AFF823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catalog" AND (sensitive OR PII) AND (classification OR tags) AND "machine learning"</w:t>
            </w:r>
          </w:p>
        </w:tc>
        <w:tc>
          <w:tcPr>
            <w:tcW w:w="1155" w:type="dxa"/>
            <w:vAlign w:val="center"/>
          </w:tcPr>
          <w:p w14:paraId="07327D7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Google Patents</w:t>
            </w:r>
          </w:p>
        </w:tc>
        <w:tc>
          <w:tcPr>
            <w:tcW w:w="1365" w:type="dxa"/>
            <w:vAlign w:val="center"/>
          </w:tcPr>
          <w:p w14:paraId="3704657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USPTO (Oracle)</w:t>
            </w:r>
          </w:p>
        </w:tc>
        <w:tc>
          <w:tcPr>
            <w:tcW w:w="2475" w:type="dxa"/>
            <w:vAlign w:val="center"/>
          </w:tcPr>
          <w:p w14:paraId="3EB5969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Identification and classification of sensitive information in data catalog objects (US 12,038,948 B2)</w:t>
            </w:r>
          </w:p>
        </w:tc>
        <w:tc>
          <w:tcPr>
            <w:tcW w:w="2490" w:type="dxa"/>
            <w:vAlign w:val="center"/>
          </w:tcPr>
          <w:p w14:paraId="57600610" w14:textId="77777777" w:rsidR="000E2BB3" w:rsidRDefault="00000000">
            <w:pPr>
              <w:spacing w:before="80" w:after="80"/>
              <w:rPr>
                <w:rFonts w:ascii="Times New Roman" w:eastAsia="Times New Roman" w:hAnsi="Times New Roman" w:cs="Times New Roman"/>
              </w:rPr>
            </w:pPr>
            <w:hyperlink r:id="rId55">
              <w:r>
                <w:rPr>
                  <w:rFonts w:ascii="Times New Roman" w:eastAsia="Times New Roman" w:hAnsi="Times New Roman" w:cs="Times New Roman"/>
                  <w:color w:val="1155CC"/>
                  <w:u w:val="single"/>
                </w:rPr>
                <w:t>https://patents.google.com/patent/US12038948B2/en</w:t>
              </w:r>
            </w:hyperlink>
          </w:p>
        </w:tc>
      </w:tr>
      <w:tr w:rsidR="000E2BB3" w14:paraId="270C6791" w14:textId="77777777">
        <w:tc>
          <w:tcPr>
            <w:tcW w:w="600" w:type="dxa"/>
            <w:vAlign w:val="center"/>
          </w:tcPr>
          <w:p w14:paraId="2AA03F9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49</w:t>
            </w:r>
          </w:p>
        </w:tc>
        <w:tc>
          <w:tcPr>
            <w:tcW w:w="1740" w:type="dxa"/>
            <w:vAlign w:val="center"/>
          </w:tcPr>
          <w:p w14:paraId="60B3700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data</w:t>
            </w:r>
            <w:proofErr w:type="gramEnd"/>
            <w:r>
              <w:rPr>
                <w:rFonts w:ascii="Times New Roman" w:eastAsia="Times New Roman" w:hAnsi="Times New Roman" w:cs="Times New Roman"/>
              </w:rPr>
              <w:t xml:space="preserve"> catalog" AND (sensitive OR PII) AND (classification OR tags) AND "machine learning"</w:t>
            </w:r>
          </w:p>
        </w:tc>
        <w:tc>
          <w:tcPr>
            <w:tcW w:w="1155" w:type="dxa"/>
            <w:vAlign w:val="center"/>
          </w:tcPr>
          <w:p w14:paraId="5EDD618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Google Patents</w:t>
            </w:r>
          </w:p>
        </w:tc>
        <w:tc>
          <w:tcPr>
            <w:tcW w:w="1365" w:type="dxa"/>
            <w:vAlign w:val="center"/>
          </w:tcPr>
          <w:p w14:paraId="6DF47A7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USPTO (Intuit)</w:t>
            </w:r>
          </w:p>
        </w:tc>
        <w:tc>
          <w:tcPr>
            <w:tcW w:w="2475" w:type="dxa"/>
            <w:vAlign w:val="center"/>
          </w:tcPr>
          <w:p w14:paraId="570A5CE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Automatic classification of data sensitivity through machine learning (US 11,809,980 B1)</w:t>
            </w:r>
          </w:p>
        </w:tc>
        <w:tc>
          <w:tcPr>
            <w:tcW w:w="2490" w:type="dxa"/>
            <w:vAlign w:val="center"/>
          </w:tcPr>
          <w:p w14:paraId="439ADC90" w14:textId="77777777" w:rsidR="000E2BB3" w:rsidRDefault="00000000">
            <w:pPr>
              <w:spacing w:before="80" w:after="80"/>
              <w:rPr>
                <w:rFonts w:ascii="Times New Roman" w:eastAsia="Times New Roman" w:hAnsi="Times New Roman" w:cs="Times New Roman"/>
              </w:rPr>
            </w:pPr>
            <w:hyperlink r:id="rId56">
              <w:r>
                <w:rPr>
                  <w:rFonts w:ascii="Times New Roman" w:eastAsia="Times New Roman" w:hAnsi="Times New Roman" w:cs="Times New Roman"/>
                  <w:color w:val="1155CC"/>
                  <w:u w:val="single"/>
                </w:rPr>
                <w:t>https://patents.google.com/patent/US11809980B1/en</w:t>
              </w:r>
            </w:hyperlink>
          </w:p>
        </w:tc>
      </w:tr>
      <w:tr w:rsidR="000E2BB3" w14:paraId="2C3B84D8" w14:textId="77777777">
        <w:tc>
          <w:tcPr>
            <w:tcW w:w="600" w:type="dxa"/>
            <w:vAlign w:val="center"/>
          </w:tcPr>
          <w:p w14:paraId="21EDE4B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50</w:t>
            </w:r>
          </w:p>
        </w:tc>
        <w:tc>
          <w:tcPr>
            <w:tcW w:w="1740" w:type="dxa"/>
            <w:vAlign w:val="center"/>
          </w:tcPr>
          <w:p w14:paraId="3E6B2AED"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site:laws-lois.justice.gc.ca</w:t>
            </w:r>
            <w:proofErr w:type="gramEnd"/>
            <w:r>
              <w:rPr>
                <w:rFonts w:ascii="Times New Roman" w:eastAsia="Times New Roman" w:hAnsi="Times New Roman" w:cs="Times New Roman"/>
              </w:rPr>
              <w:t xml:space="preserve"> "Personal Information Protection and Electronic Documents Act"</w:t>
            </w:r>
          </w:p>
        </w:tc>
        <w:tc>
          <w:tcPr>
            <w:tcW w:w="1155" w:type="dxa"/>
            <w:vAlign w:val="center"/>
          </w:tcPr>
          <w:p w14:paraId="305A8AA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1C86309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Government of Canada</w:t>
            </w:r>
          </w:p>
        </w:tc>
        <w:tc>
          <w:tcPr>
            <w:tcW w:w="2475" w:type="dxa"/>
            <w:vAlign w:val="center"/>
          </w:tcPr>
          <w:p w14:paraId="6302D75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Personal Information Protection and Electronic Documents Act, S.C. 2000, c. 5</w:t>
            </w:r>
          </w:p>
        </w:tc>
        <w:tc>
          <w:tcPr>
            <w:tcW w:w="2490" w:type="dxa"/>
            <w:vAlign w:val="center"/>
          </w:tcPr>
          <w:p w14:paraId="7F0CE1B3" w14:textId="77777777" w:rsidR="000E2BB3" w:rsidRDefault="00000000">
            <w:pPr>
              <w:spacing w:before="80" w:after="80"/>
              <w:rPr>
                <w:rFonts w:ascii="Times New Roman" w:eastAsia="Times New Roman" w:hAnsi="Times New Roman" w:cs="Times New Roman"/>
              </w:rPr>
            </w:pPr>
            <w:hyperlink r:id="rId57">
              <w:r>
                <w:rPr>
                  <w:rFonts w:ascii="Times New Roman" w:eastAsia="Times New Roman" w:hAnsi="Times New Roman" w:cs="Times New Roman"/>
                  <w:color w:val="1155CC"/>
                  <w:u w:val="single"/>
                </w:rPr>
                <w:t>https://laws-lois.justice.gc.ca/eng/acts/P-8.6/</w:t>
              </w:r>
            </w:hyperlink>
          </w:p>
        </w:tc>
      </w:tr>
      <w:tr w:rsidR="000E2BB3" w14:paraId="4B1F7956" w14:textId="77777777">
        <w:tc>
          <w:tcPr>
            <w:tcW w:w="600" w:type="dxa"/>
            <w:vAlign w:val="center"/>
          </w:tcPr>
          <w:p w14:paraId="02640CD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51</w:t>
            </w:r>
          </w:p>
        </w:tc>
        <w:tc>
          <w:tcPr>
            <w:tcW w:w="1740" w:type="dxa"/>
            <w:vAlign w:val="center"/>
          </w:tcPr>
          <w:p w14:paraId="534D5AB0"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site:laws-lois.justice.gc.ca</w:t>
            </w:r>
            <w:proofErr w:type="gramEnd"/>
            <w:r>
              <w:rPr>
                <w:rFonts w:ascii="Times New Roman" w:eastAsia="Times New Roman" w:hAnsi="Times New Roman" w:cs="Times New Roman"/>
              </w:rPr>
              <w:t xml:space="preserve"> "Breach of Security Safeguards Regulations"</w:t>
            </w:r>
          </w:p>
        </w:tc>
        <w:tc>
          <w:tcPr>
            <w:tcW w:w="1155" w:type="dxa"/>
            <w:vAlign w:val="center"/>
          </w:tcPr>
          <w:p w14:paraId="599CEFD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74A952F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Government of Canada</w:t>
            </w:r>
          </w:p>
        </w:tc>
        <w:tc>
          <w:tcPr>
            <w:tcW w:w="2475" w:type="dxa"/>
            <w:vAlign w:val="center"/>
          </w:tcPr>
          <w:p w14:paraId="1EE1658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Breach of Security Safeguards Regulations, SOR/2018-64</w:t>
            </w:r>
          </w:p>
        </w:tc>
        <w:tc>
          <w:tcPr>
            <w:tcW w:w="2490" w:type="dxa"/>
            <w:vAlign w:val="center"/>
          </w:tcPr>
          <w:p w14:paraId="480035DF" w14:textId="77777777" w:rsidR="000E2BB3" w:rsidRDefault="00000000">
            <w:pPr>
              <w:spacing w:before="80" w:after="80"/>
              <w:rPr>
                <w:rFonts w:ascii="Times New Roman" w:eastAsia="Times New Roman" w:hAnsi="Times New Roman" w:cs="Times New Roman"/>
              </w:rPr>
            </w:pPr>
            <w:hyperlink r:id="rId58">
              <w:r>
                <w:rPr>
                  <w:rFonts w:ascii="Times New Roman" w:eastAsia="Times New Roman" w:hAnsi="Times New Roman" w:cs="Times New Roman"/>
                  <w:color w:val="1155CC"/>
                  <w:u w:val="single"/>
                </w:rPr>
                <w:t>https://laws-lois.justice.gc.ca/eng/regulations/SOR-2018-64/</w:t>
              </w:r>
            </w:hyperlink>
          </w:p>
        </w:tc>
      </w:tr>
      <w:tr w:rsidR="000E2BB3" w14:paraId="1D9AA022" w14:textId="77777777">
        <w:tc>
          <w:tcPr>
            <w:tcW w:w="600" w:type="dxa"/>
            <w:vAlign w:val="center"/>
          </w:tcPr>
          <w:p w14:paraId="117EC37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52</w:t>
            </w:r>
          </w:p>
        </w:tc>
        <w:tc>
          <w:tcPr>
            <w:tcW w:w="1740" w:type="dxa"/>
            <w:vAlign w:val="center"/>
          </w:tcPr>
          <w:p w14:paraId="471D834C"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site:parl.ca</w:t>
            </w:r>
            <w:proofErr w:type="gramEnd"/>
            <w:r>
              <w:rPr>
                <w:rFonts w:ascii="Times New Roman" w:eastAsia="Times New Roman" w:hAnsi="Times New Roman" w:cs="Times New Roman"/>
              </w:rPr>
              <w:t xml:space="preserve"> "C-36" AND "Protecting Privacy and Consumer Data Act"</w:t>
            </w:r>
          </w:p>
        </w:tc>
        <w:tc>
          <w:tcPr>
            <w:tcW w:w="1155" w:type="dxa"/>
            <w:vAlign w:val="center"/>
          </w:tcPr>
          <w:p w14:paraId="5242D6F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 (</w:t>
            </w:r>
            <w:proofErr w:type="spellStart"/>
            <w:r>
              <w:rPr>
                <w:rFonts w:ascii="Times New Roman" w:eastAsia="Times New Roman" w:hAnsi="Times New Roman" w:cs="Times New Roman"/>
              </w:rPr>
              <w:t>LEGISinfo</w:t>
            </w:r>
            <w:proofErr w:type="spellEnd"/>
            <w:r>
              <w:rPr>
                <w:rFonts w:ascii="Times New Roman" w:eastAsia="Times New Roman" w:hAnsi="Times New Roman" w:cs="Times New Roman"/>
              </w:rPr>
              <w:t>)</w:t>
            </w:r>
          </w:p>
        </w:tc>
        <w:tc>
          <w:tcPr>
            <w:tcW w:w="1365" w:type="dxa"/>
            <w:vAlign w:val="center"/>
          </w:tcPr>
          <w:p w14:paraId="693ECD0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Parliament of Canada</w:t>
            </w:r>
          </w:p>
        </w:tc>
        <w:tc>
          <w:tcPr>
            <w:tcW w:w="2475" w:type="dxa"/>
            <w:vAlign w:val="center"/>
          </w:tcPr>
          <w:p w14:paraId="294D527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Bill C-36 (45-1), Protecting Privacy and Consumer Data Act</w:t>
            </w:r>
          </w:p>
        </w:tc>
        <w:tc>
          <w:tcPr>
            <w:tcW w:w="2490" w:type="dxa"/>
            <w:vAlign w:val="center"/>
          </w:tcPr>
          <w:p w14:paraId="1660E0BE" w14:textId="77777777" w:rsidR="000E2BB3" w:rsidRDefault="00000000">
            <w:pPr>
              <w:spacing w:before="80" w:after="80"/>
              <w:rPr>
                <w:rFonts w:ascii="Times New Roman" w:eastAsia="Times New Roman" w:hAnsi="Times New Roman" w:cs="Times New Roman"/>
              </w:rPr>
            </w:pPr>
            <w:hyperlink r:id="rId59">
              <w:r>
                <w:rPr>
                  <w:rFonts w:ascii="Times New Roman" w:eastAsia="Times New Roman" w:hAnsi="Times New Roman" w:cs="Times New Roman"/>
                  <w:color w:val="1155CC"/>
                  <w:u w:val="single"/>
                </w:rPr>
                <w:t>https://www.parl.ca/legisinfo/en/bill/45-1/c-36</w:t>
              </w:r>
            </w:hyperlink>
          </w:p>
        </w:tc>
      </w:tr>
      <w:tr w:rsidR="000E2BB3" w14:paraId="0B042DC3" w14:textId="77777777">
        <w:tc>
          <w:tcPr>
            <w:tcW w:w="600" w:type="dxa"/>
            <w:vAlign w:val="center"/>
          </w:tcPr>
          <w:p w14:paraId="4FFDFA4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53</w:t>
            </w:r>
          </w:p>
        </w:tc>
        <w:tc>
          <w:tcPr>
            <w:tcW w:w="1740" w:type="dxa"/>
            <w:vAlign w:val="center"/>
          </w:tcPr>
          <w:p w14:paraId="5D77BCBA"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site:priv.gc.ca</w:t>
            </w:r>
            <w:proofErr w:type="gramEnd"/>
            <w:r>
              <w:rPr>
                <w:rFonts w:ascii="Times New Roman" w:eastAsia="Times New Roman" w:hAnsi="Times New Roman" w:cs="Times New Roman"/>
              </w:rPr>
              <w:t xml:space="preserve"> "meaningful consent" AND guidelines</w:t>
            </w:r>
          </w:p>
        </w:tc>
        <w:tc>
          <w:tcPr>
            <w:tcW w:w="1155" w:type="dxa"/>
            <w:vAlign w:val="center"/>
          </w:tcPr>
          <w:p w14:paraId="55900F3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12A4EDE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Office of the Privacy Commissioner of Canada</w:t>
            </w:r>
          </w:p>
        </w:tc>
        <w:tc>
          <w:tcPr>
            <w:tcW w:w="2475" w:type="dxa"/>
            <w:vAlign w:val="center"/>
          </w:tcPr>
          <w:p w14:paraId="5C4680F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Guidelines for obtaining meaningful consent</w:t>
            </w:r>
          </w:p>
        </w:tc>
        <w:tc>
          <w:tcPr>
            <w:tcW w:w="2490" w:type="dxa"/>
            <w:vAlign w:val="center"/>
          </w:tcPr>
          <w:p w14:paraId="17CF6937" w14:textId="77777777" w:rsidR="000E2BB3" w:rsidRDefault="00000000">
            <w:pPr>
              <w:spacing w:before="80" w:after="80"/>
              <w:rPr>
                <w:rFonts w:ascii="Times New Roman" w:eastAsia="Times New Roman" w:hAnsi="Times New Roman" w:cs="Times New Roman"/>
              </w:rPr>
            </w:pPr>
            <w:hyperlink r:id="rId60">
              <w:r>
                <w:rPr>
                  <w:rFonts w:ascii="Times New Roman" w:eastAsia="Times New Roman" w:hAnsi="Times New Roman" w:cs="Times New Roman"/>
                  <w:color w:val="1155CC"/>
                  <w:u w:val="single"/>
                </w:rPr>
                <w:t>https://www.priv.gc.ca/en/privacy-topics/collecting-personal-information/consent/gl_omc_201805/</w:t>
              </w:r>
            </w:hyperlink>
          </w:p>
        </w:tc>
      </w:tr>
      <w:tr w:rsidR="000E2BB3" w14:paraId="6A302F98" w14:textId="77777777">
        <w:tc>
          <w:tcPr>
            <w:tcW w:w="600" w:type="dxa"/>
            <w:vAlign w:val="center"/>
          </w:tcPr>
          <w:p w14:paraId="3A5C4FF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54</w:t>
            </w:r>
          </w:p>
        </w:tc>
        <w:tc>
          <w:tcPr>
            <w:tcW w:w="1740" w:type="dxa"/>
            <w:vAlign w:val="center"/>
          </w:tcPr>
          <w:p w14:paraId="027433BD"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site:priv.gc.ca</w:t>
            </w:r>
            <w:proofErr w:type="gramEnd"/>
            <w:r>
              <w:rPr>
                <w:rFonts w:ascii="Times New Roman" w:eastAsia="Times New Roman" w:hAnsi="Times New Roman" w:cs="Times New Roman"/>
              </w:rPr>
              <w:t xml:space="preserve"> "interpretation bulletin" AND "sensitive information"</w:t>
            </w:r>
          </w:p>
        </w:tc>
        <w:tc>
          <w:tcPr>
            <w:tcW w:w="1155" w:type="dxa"/>
            <w:vAlign w:val="center"/>
          </w:tcPr>
          <w:p w14:paraId="3EF182F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52395AF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Office of the Privacy Commissioner of Canada</w:t>
            </w:r>
          </w:p>
        </w:tc>
        <w:tc>
          <w:tcPr>
            <w:tcW w:w="2475" w:type="dxa"/>
            <w:vAlign w:val="center"/>
          </w:tcPr>
          <w:p w14:paraId="7D640A3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Interpretation bulletin: Sensitive information</w:t>
            </w:r>
          </w:p>
        </w:tc>
        <w:tc>
          <w:tcPr>
            <w:tcW w:w="2490" w:type="dxa"/>
            <w:vAlign w:val="center"/>
          </w:tcPr>
          <w:p w14:paraId="01E93202" w14:textId="77777777" w:rsidR="000E2BB3" w:rsidRDefault="00000000">
            <w:pPr>
              <w:spacing w:before="80" w:after="80"/>
              <w:rPr>
                <w:rFonts w:ascii="Times New Roman" w:eastAsia="Times New Roman" w:hAnsi="Times New Roman" w:cs="Times New Roman"/>
              </w:rPr>
            </w:pPr>
            <w:hyperlink r:id="rId61">
              <w:r>
                <w:rPr>
                  <w:rFonts w:ascii="Times New Roman" w:eastAsia="Times New Roman" w:hAnsi="Times New Roman" w:cs="Times New Roman"/>
                  <w:color w:val="1155CC"/>
                  <w:u w:val="single"/>
                </w:rPr>
                <w:t>https://www.priv.gc.ca/en/privacy-topics/privacy-laws-in-canada/the-personal-information-protection-and-electronic-documents-act-pipeda/pipeda-compliance-help/pipeda-interpretation-bulletins/interpretations_10_sensible/</w:t>
              </w:r>
            </w:hyperlink>
          </w:p>
        </w:tc>
      </w:tr>
      <w:tr w:rsidR="000E2BB3" w14:paraId="49F48E69" w14:textId="77777777">
        <w:tc>
          <w:tcPr>
            <w:tcW w:w="600" w:type="dxa"/>
            <w:vAlign w:val="center"/>
          </w:tcPr>
          <w:p w14:paraId="559ED54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55</w:t>
            </w:r>
          </w:p>
        </w:tc>
        <w:tc>
          <w:tcPr>
            <w:tcW w:w="1740" w:type="dxa"/>
            <w:vAlign w:val="center"/>
          </w:tcPr>
          <w:p w14:paraId="4967F2D5"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site:priv.gc.ca</w:t>
            </w:r>
            <w:proofErr w:type="gramEnd"/>
            <w:r>
              <w:rPr>
                <w:rFonts w:ascii="Times New Roman" w:eastAsia="Times New Roman" w:hAnsi="Times New Roman" w:cs="Times New Roman"/>
              </w:rPr>
              <w:t xml:space="preserve"> "PIPEDA Findings" AND 2020-005 AND Desjardins</w:t>
            </w:r>
          </w:p>
        </w:tc>
        <w:tc>
          <w:tcPr>
            <w:tcW w:w="1155" w:type="dxa"/>
            <w:vAlign w:val="center"/>
          </w:tcPr>
          <w:p w14:paraId="33DBB58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0ECF3E2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Office of the Privacy Commissioner of Canada</w:t>
            </w:r>
          </w:p>
        </w:tc>
        <w:tc>
          <w:tcPr>
            <w:tcW w:w="2475" w:type="dxa"/>
            <w:vAlign w:val="center"/>
          </w:tcPr>
          <w:p w14:paraId="3F9036A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PIPEDA Findings #2020-005: Investigation into Desjardins' compliance with PIPEDA</w:t>
            </w:r>
          </w:p>
        </w:tc>
        <w:tc>
          <w:tcPr>
            <w:tcW w:w="2490" w:type="dxa"/>
            <w:vAlign w:val="center"/>
          </w:tcPr>
          <w:p w14:paraId="1A8DB8BB" w14:textId="77777777" w:rsidR="000E2BB3" w:rsidRDefault="00000000">
            <w:pPr>
              <w:spacing w:before="80" w:after="80"/>
              <w:rPr>
                <w:rFonts w:ascii="Times New Roman" w:eastAsia="Times New Roman" w:hAnsi="Times New Roman" w:cs="Times New Roman"/>
              </w:rPr>
            </w:pPr>
            <w:hyperlink r:id="rId62">
              <w:r>
                <w:rPr>
                  <w:rFonts w:ascii="Times New Roman" w:eastAsia="Times New Roman" w:hAnsi="Times New Roman" w:cs="Times New Roman"/>
                  <w:color w:val="1155CC"/>
                  <w:u w:val="single"/>
                </w:rPr>
                <w:t>https://www.priv.gc.ca/en/opc-actions-and-decisions/investigations/investigations-into-businesses/2020/pipeda-2020-005/</w:t>
              </w:r>
            </w:hyperlink>
          </w:p>
        </w:tc>
      </w:tr>
      <w:tr w:rsidR="000E2BB3" w14:paraId="2EEC7D19" w14:textId="77777777">
        <w:tc>
          <w:tcPr>
            <w:tcW w:w="600" w:type="dxa"/>
            <w:vAlign w:val="center"/>
          </w:tcPr>
          <w:p w14:paraId="46083FF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56</w:t>
            </w:r>
          </w:p>
        </w:tc>
        <w:tc>
          <w:tcPr>
            <w:tcW w:w="1740" w:type="dxa"/>
            <w:vAlign w:val="center"/>
          </w:tcPr>
          <w:p w14:paraId="458BB1B0"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site:osfi-bsif.gc.ca</w:t>
            </w:r>
            <w:proofErr w:type="gramEnd"/>
            <w:r>
              <w:rPr>
                <w:rFonts w:ascii="Times New Roman" w:eastAsia="Times New Roman" w:hAnsi="Times New Roman" w:cs="Times New Roman"/>
              </w:rPr>
              <w:t xml:space="preserve"> "Guideline B-13" AND "technology and cyber risk"</w:t>
            </w:r>
          </w:p>
        </w:tc>
        <w:tc>
          <w:tcPr>
            <w:tcW w:w="1155" w:type="dxa"/>
            <w:vAlign w:val="center"/>
          </w:tcPr>
          <w:p w14:paraId="1B2C928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17FE9DA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Office of the Superintendent of Financial Institutions</w:t>
            </w:r>
          </w:p>
        </w:tc>
        <w:tc>
          <w:tcPr>
            <w:tcW w:w="2475" w:type="dxa"/>
            <w:vAlign w:val="center"/>
          </w:tcPr>
          <w:p w14:paraId="1DF33AF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Guideline B-13: Technology and cyber risk management</w:t>
            </w:r>
          </w:p>
        </w:tc>
        <w:tc>
          <w:tcPr>
            <w:tcW w:w="2490" w:type="dxa"/>
            <w:vAlign w:val="center"/>
          </w:tcPr>
          <w:p w14:paraId="17298553" w14:textId="77777777" w:rsidR="000E2BB3" w:rsidRDefault="00000000">
            <w:pPr>
              <w:spacing w:before="80" w:after="80"/>
              <w:rPr>
                <w:rFonts w:ascii="Times New Roman" w:eastAsia="Times New Roman" w:hAnsi="Times New Roman" w:cs="Times New Roman"/>
              </w:rPr>
            </w:pPr>
            <w:hyperlink r:id="rId63">
              <w:r>
                <w:rPr>
                  <w:rFonts w:ascii="Times New Roman" w:eastAsia="Times New Roman" w:hAnsi="Times New Roman" w:cs="Times New Roman"/>
                  <w:color w:val="1155CC"/>
                  <w:u w:val="single"/>
                </w:rPr>
                <w:t>https://www.osfi-bsif.gc.ca/en/guidance/guidance-library/technology-cyber-risk-management</w:t>
              </w:r>
            </w:hyperlink>
          </w:p>
        </w:tc>
      </w:tr>
      <w:tr w:rsidR="000E2BB3" w14:paraId="66C1A1CB" w14:textId="77777777">
        <w:tc>
          <w:tcPr>
            <w:tcW w:w="600" w:type="dxa"/>
            <w:vAlign w:val="center"/>
          </w:tcPr>
          <w:p w14:paraId="4187E78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57</w:t>
            </w:r>
          </w:p>
        </w:tc>
        <w:tc>
          <w:tcPr>
            <w:tcW w:w="1740" w:type="dxa"/>
            <w:vAlign w:val="center"/>
          </w:tcPr>
          <w:p w14:paraId="15CAB9EF"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site:osfi-bsif.gc.ca</w:t>
            </w:r>
            <w:proofErr w:type="gramEnd"/>
            <w:r>
              <w:rPr>
                <w:rFonts w:ascii="Times New Roman" w:eastAsia="Times New Roman" w:hAnsi="Times New Roman" w:cs="Times New Roman"/>
              </w:rPr>
              <w:t xml:space="preserve"> "Guideline E-23" AND "model risk management" AND 2027</w:t>
            </w:r>
          </w:p>
        </w:tc>
        <w:tc>
          <w:tcPr>
            <w:tcW w:w="1155" w:type="dxa"/>
            <w:vAlign w:val="center"/>
          </w:tcPr>
          <w:p w14:paraId="1D4BB1A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7BEB5DD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Office of the Superintendent of Financial Institutions</w:t>
            </w:r>
          </w:p>
        </w:tc>
        <w:tc>
          <w:tcPr>
            <w:tcW w:w="2475" w:type="dxa"/>
            <w:vAlign w:val="center"/>
          </w:tcPr>
          <w:p w14:paraId="0F7BB27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Guideline E-23: Model risk management (2027)</w:t>
            </w:r>
          </w:p>
        </w:tc>
        <w:tc>
          <w:tcPr>
            <w:tcW w:w="2490" w:type="dxa"/>
            <w:vAlign w:val="center"/>
          </w:tcPr>
          <w:p w14:paraId="177B0D80" w14:textId="77777777" w:rsidR="000E2BB3" w:rsidRDefault="00000000">
            <w:pPr>
              <w:spacing w:before="80" w:after="80"/>
              <w:rPr>
                <w:rFonts w:ascii="Times New Roman" w:eastAsia="Times New Roman" w:hAnsi="Times New Roman" w:cs="Times New Roman"/>
              </w:rPr>
            </w:pPr>
            <w:hyperlink r:id="rId64">
              <w:r>
                <w:rPr>
                  <w:rFonts w:ascii="Times New Roman" w:eastAsia="Times New Roman" w:hAnsi="Times New Roman" w:cs="Times New Roman"/>
                  <w:color w:val="1155CC"/>
                  <w:u w:val="single"/>
                </w:rPr>
                <w:t>https://www.osfi-bsif.gc.ca/en/guidance/guidance-library/guideline-e-23-model-risk-management-2027</w:t>
              </w:r>
            </w:hyperlink>
          </w:p>
        </w:tc>
      </w:tr>
      <w:tr w:rsidR="000E2BB3" w14:paraId="3C3781EB" w14:textId="77777777">
        <w:tc>
          <w:tcPr>
            <w:tcW w:w="600" w:type="dxa"/>
            <w:vAlign w:val="center"/>
          </w:tcPr>
          <w:p w14:paraId="2D68CEB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58</w:t>
            </w:r>
          </w:p>
        </w:tc>
        <w:tc>
          <w:tcPr>
            <w:tcW w:w="1740" w:type="dxa"/>
            <w:vAlign w:val="center"/>
          </w:tcPr>
          <w:p w14:paraId="28CF7137"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site:fintrac-canafe.canada.ca</w:t>
            </w:r>
            <w:proofErr w:type="gramEnd"/>
            <w:r>
              <w:rPr>
                <w:rFonts w:ascii="Times New Roman" w:eastAsia="Times New Roman" w:hAnsi="Times New Roman" w:cs="Times New Roman"/>
              </w:rPr>
              <w:t xml:space="preserve"> "record keeping" AND "financial entities"</w:t>
            </w:r>
          </w:p>
        </w:tc>
        <w:tc>
          <w:tcPr>
            <w:tcW w:w="1155" w:type="dxa"/>
            <w:vAlign w:val="center"/>
          </w:tcPr>
          <w:p w14:paraId="393714E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112AF96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FINTRAC</w:t>
            </w:r>
          </w:p>
        </w:tc>
        <w:tc>
          <w:tcPr>
            <w:tcW w:w="2475" w:type="dxa"/>
            <w:vAlign w:val="center"/>
          </w:tcPr>
          <w:p w14:paraId="38ADCEF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Record keeping requirements for financial entities</w:t>
            </w:r>
          </w:p>
        </w:tc>
        <w:tc>
          <w:tcPr>
            <w:tcW w:w="2490" w:type="dxa"/>
            <w:vAlign w:val="center"/>
          </w:tcPr>
          <w:p w14:paraId="7EE898B6" w14:textId="77777777" w:rsidR="000E2BB3" w:rsidRDefault="00000000">
            <w:pPr>
              <w:spacing w:before="80" w:after="80"/>
              <w:rPr>
                <w:rFonts w:ascii="Times New Roman" w:eastAsia="Times New Roman" w:hAnsi="Times New Roman" w:cs="Times New Roman"/>
              </w:rPr>
            </w:pPr>
            <w:hyperlink r:id="rId65">
              <w:r>
                <w:rPr>
                  <w:rFonts w:ascii="Times New Roman" w:eastAsia="Times New Roman" w:hAnsi="Times New Roman" w:cs="Times New Roman"/>
                  <w:color w:val="1155CC"/>
                  <w:u w:val="single"/>
                </w:rPr>
                <w:t>https://fintrac-canafe.canada.ca/guidance-directives/recordkeeping-document/record/fin-eng</w:t>
              </w:r>
            </w:hyperlink>
          </w:p>
        </w:tc>
      </w:tr>
      <w:tr w:rsidR="000E2BB3" w14:paraId="437E1B99" w14:textId="77777777">
        <w:tc>
          <w:tcPr>
            <w:tcW w:w="600" w:type="dxa"/>
            <w:vAlign w:val="center"/>
          </w:tcPr>
          <w:p w14:paraId="387FDB5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59</w:t>
            </w:r>
          </w:p>
        </w:tc>
        <w:tc>
          <w:tcPr>
            <w:tcW w:w="1740" w:type="dxa"/>
            <w:vAlign w:val="center"/>
          </w:tcPr>
          <w:p w14:paraId="1C0DFFE2"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site:fintrac-canafe.canada.ca</w:t>
            </w:r>
            <w:proofErr w:type="gramEnd"/>
            <w:r>
              <w:rPr>
                <w:rFonts w:ascii="Times New Roman" w:eastAsia="Times New Roman" w:hAnsi="Times New Roman" w:cs="Times New Roman"/>
              </w:rPr>
              <w:t xml:space="preserve"> "large cash transaction" AND report</w:t>
            </w:r>
          </w:p>
        </w:tc>
        <w:tc>
          <w:tcPr>
            <w:tcW w:w="1155" w:type="dxa"/>
            <w:vAlign w:val="center"/>
          </w:tcPr>
          <w:p w14:paraId="601E36D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022A1F9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FINTRAC</w:t>
            </w:r>
          </w:p>
        </w:tc>
        <w:tc>
          <w:tcPr>
            <w:tcW w:w="2475" w:type="dxa"/>
            <w:vAlign w:val="center"/>
          </w:tcPr>
          <w:p w14:paraId="250981C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Reporting large cash transactions to FINTRAC</w:t>
            </w:r>
          </w:p>
        </w:tc>
        <w:tc>
          <w:tcPr>
            <w:tcW w:w="2490" w:type="dxa"/>
            <w:vAlign w:val="center"/>
          </w:tcPr>
          <w:p w14:paraId="78C54893" w14:textId="77777777" w:rsidR="000E2BB3" w:rsidRDefault="00000000">
            <w:pPr>
              <w:spacing w:before="80" w:after="80"/>
              <w:rPr>
                <w:rFonts w:ascii="Times New Roman" w:eastAsia="Times New Roman" w:hAnsi="Times New Roman" w:cs="Times New Roman"/>
              </w:rPr>
            </w:pPr>
            <w:hyperlink r:id="rId66">
              <w:r>
                <w:rPr>
                  <w:rFonts w:ascii="Times New Roman" w:eastAsia="Times New Roman" w:hAnsi="Times New Roman" w:cs="Times New Roman"/>
                  <w:color w:val="1155CC"/>
                  <w:u w:val="single"/>
                </w:rPr>
                <w:t>https://fintrac-canafe.canada.ca/guidance-directives/transaction-operation/lctr-doie/lctr-doie-eng</w:t>
              </w:r>
            </w:hyperlink>
          </w:p>
        </w:tc>
      </w:tr>
      <w:tr w:rsidR="000E2BB3" w14:paraId="2B218FA7" w14:textId="77777777">
        <w:tc>
          <w:tcPr>
            <w:tcW w:w="600" w:type="dxa"/>
            <w:vAlign w:val="center"/>
          </w:tcPr>
          <w:p w14:paraId="57F5A18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60</w:t>
            </w:r>
          </w:p>
        </w:tc>
        <w:tc>
          <w:tcPr>
            <w:tcW w:w="1740" w:type="dxa"/>
            <w:vAlign w:val="center"/>
          </w:tcPr>
          <w:p w14:paraId="0541EBC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38505-1" AND (2017 OR 2026) AND "governance of data"</w:t>
            </w:r>
          </w:p>
        </w:tc>
        <w:tc>
          <w:tcPr>
            <w:tcW w:w="1155" w:type="dxa"/>
            <w:vAlign w:val="center"/>
          </w:tcPr>
          <w:p w14:paraId="4CFE9B7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IEC Webstore</w:t>
            </w:r>
          </w:p>
        </w:tc>
        <w:tc>
          <w:tcPr>
            <w:tcW w:w="1365" w:type="dxa"/>
            <w:vAlign w:val="center"/>
          </w:tcPr>
          <w:p w14:paraId="5E9FE9B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w:t>
            </w:r>
          </w:p>
        </w:tc>
        <w:tc>
          <w:tcPr>
            <w:tcW w:w="2475" w:type="dxa"/>
            <w:vAlign w:val="center"/>
          </w:tcPr>
          <w:p w14:paraId="37D6137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38505-1:2026 Governance of data, Part 1</w:t>
            </w:r>
          </w:p>
        </w:tc>
        <w:tc>
          <w:tcPr>
            <w:tcW w:w="2490" w:type="dxa"/>
            <w:vAlign w:val="center"/>
          </w:tcPr>
          <w:p w14:paraId="2AB63525" w14:textId="77777777" w:rsidR="000E2BB3" w:rsidRDefault="00000000">
            <w:pPr>
              <w:spacing w:before="80" w:after="80"/>
              <w:rPr>
                <w:rFonts w:ascii="Times New Roman" w:eastAsia="Times New Roman" w:hAnsi="Times New Roman" w:cs="Times New Roman"/>
              </w:rPr>
            </w:pPr>
            <w:hyperlink r:id="rId67">
              <w:r>
                <w:rPr>
                  <w:rFonts w:ascii="Times New Roman" w:eastAsia="Times New Roman" w:hAnsi="Times New Roman" w:cs="Times New Roman"/>
                  <w:color w:val="1155CC"/>
                  <w:u w:val="single"/>
                </w:rPr>
                <w:t>https://www.iso.org/standard/87195.html</w:t>
              </w:r>
            </w:hyperlink>
          </w:p>
        </w:tc>
      </w:tr>
      <w:tr w:rsidR="000E2BB3" w14:paraId="673CD6BF" w14:textId="77777777">
        <w:tc>
          <w:tcPr>
            <w:tcW w:w="600" w:type="dxa"/>
            <w:vAlign w:val="center"/>
          </w:tcPr>
          <w:p w14:paraId="4190D0E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61</w:t>
            </w:r>
          </w:p>
        </w:tc>
        <w:tc>
          <w:tcPr>
            <w:tcW w:w="1740" w:type="dxa"/>
            <w:vAlign w:val="center"/>
          </w:tcPr>
          <w:p w14:paraId="6BAA58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27701:2025" AND "privacy information management"</w:t>
            </w:r>
          </w:p>
        </w:tc>
        <w:tc>
          <w:tcPr>
            <w:tcW w:w="1155" w:type="dxa"/>
            <w:vAlign w:val="center"/>
          </w:tcPr>
          <w:p w14:paraId="010F1DC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3BF5F60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w:t>
            </w:r>
          </w:p>
        </w:tc>
        <w:tc>
          <w:tcPr>
            <w:tcW w:w="2475" w:type="dxa"/>
            <w:vAlign w:val="center"/>
          </w:tcPr>
          <w:p w14:paraId="65ECD7E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27701:2025 Privacy information management systems</w:t>
            </w:r>
          </w:p>
        </w:tc>
        <w:tc>
          <w:tcPr>
            <w:tcW w:w="2490" w:type="dxa"/>
            <w:vAlign w:val="center"/>
          </w:tcPr>
          <w:p w14:paraId="4A242218" w14:textId="77777777" w:rsidR="000E2BB3" w:rsidRDefault="00000000">
            <w:pPr>
              <w:spacing w:before="80" w:after="80"/>
              <w:rPr>
                <w:rFonts w:ascii="Times New Roman" w:eastAsia="Times New Roman" w:hAnsi="Times New Roman" w:cs="Times New Roman"/>
              </w:rPr>
            </w:pPr>
            <w:hyperlink r:id="rId68">
              <w:r>
                <w:rPr>
                  <w:rFonts w:ascii="Times New Roman" w:eastAsia="Times New Roman" w:hAnsi="Times New Roman" w:cs="Times New Roman"/>
                  <w:color w:val="1155CC"/>
                  <w:u w:val="single"/>
                </w:rPr>
                <w:t>https://www.iso.org/standard/27701</w:t>
              </w:r>
            </w:hyperlink>
          </w:p>
        </w:tc>
      </w:tr>
      <w:tr w:rsidR="000E2BB3" w14:paraId="23E0F3AE" w14:textId="77777777">
        <w:tc>
          <w:tcPr>
            <w:tcW w:w="600" w:type="dxa"/>
            <w:vAlign w:val="center"/>
          </w:tcPr>
          <w:p w14:paraId="24074A0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62</w:t>
            </w:r>
          </w:p>
        </w:tc>
        <w:tc>
          <w:tcPr>
            <w:tcW w:w="1740" w:type="dxa"/>
            <w:vAlign w:val="center"/>
          </w:tcPr>
          <w:p w14:paraId="46AFFD4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42001:2023" AND "artificial intelligence" AND "management system"</w:t>
            </w:r>
          </w:p>
        </w:tc>
        <w:tc>
          <w:tcPr>
            <w:tcW w:w="1155" w:type="dxa"/>
            <w:vAlign w:val="center"/>
          </w:tcPr>
          <w:p w14:paraId="68948DF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IEC Webstore</w:t>
            </w:r>
          </w:p>
        </w:tc>
        <w:tc>
          <w:tcPr>
            <w:tcW w:w="1365" w:type="dxa"/>
            <w:vAlign w:val="center"/>
          </w:tcPr>
          <w:p w14:paraId="261742A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w:t>
            </w:r>
          </w:p>
        </w:tc>
        <w:tc>
          <w:tcPr>
            <w:tcW w:w="2475" w:type="dxa"/>
            <w:vAlign w:val="center"/>
          </w:tcPr>
          <w:p w14:paraId="6563E4A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42001:2023 Artificial intelligence management system</w:t>
            </w:r>
          </w:p>
        </w:tc>
        <w:tc>
          <w:tcPr>
            <w:tcW w:w="2490" w:type="dxa"/>
            <w:vAlign w:val="center"/>
          </w:tcPr>
          <w:p w14:paraId="44484737" w14:textId="77777777" w:rsidR="000E2BB3" w:rsidRDefault="00000000">
            <w:pPr>
              <w:spacing w:before="80" w:after="80"/>
              <w:rPr>
                <w:rFonts w:ascii="Times New Roman" w:eastAsia="Times New Roman" w:hAnsi="Times New Roman" w:cs="Times New Roman"/>
              </w:rPr>
            </w:pPr>
            <w:hyperlink r:id="rId69">
              <w:r>
                <w:rPr>
                  <w:rFonts w:ascii="Times New Roman" w:eastAsia="Times New Roman" w:hAnsi="Times New Roman" w:cs="Times New Roman"/>
                  <w:color w:val="1155CC"/>
                  <w:u w:val="single"/>
                </w:rPr>
                <w:t>https://webstore.iec.ch/publication/90574</w:t>
              </w:r>
            </w:hyperlink>
          </w:p>
        </w:tc>
      </w:tr>
      <w:tr w:rsidR="000E2BB3" w14:paraId="35289255" w14:textId="77777777">
        <w:tc>
          <w:tcPr>
            <w:tcW w:w="600" w:type="dxa"/>
            <w:vAlign w:val="center"/>
          </w:tcPr>
          <w:p w14:paraId="07F126D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63</w:t>
            </w:r>
          </w:p>
        </w:tc>
        <w:tc>
          <w:tcPr>
            <w:tcW w:w="1740" w:type="dxa"/>
            <w:vAlign w:val="center"/>
          </w:tcPr>
          <w:p w14:paraId="496CBF2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27559:2022" AND de-identification AND framework</w:t>
            </w:r>
          </w:p>
        </w:tc>
        <w:tc>
          <w:tcPr>
            <w:tcW w:w="1155" w:type="dxa"/>
            <w:vAlign w:val="center"/>
          </w:tcPr>
          <w:p w14:paraId="6BEE375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2CCD442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w:t>
            </w:r>
          </w:p>
        </w:tc>
        <w:tc>
          <w:tcPr>
            <w:tcW w:w="2475" w:type="dxa"/>
            <w:vAlign w:val="center"/>
          </w:tcPr>
          <w:p w14:paraId="59BCF75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27559:2022 Privacy enhancing data de-identification framework</w:t>
            </w:r>
          </w:p>
        </w:tc>
        <w:tc>
          <w:tcPr>
            <w:tcW w:w="2490" w:type="dxa"/>
            <w:vAlign w:val="center"/>
          </w:tcPr>
          <w:p w14:paraId="416AB182" w14:textId="77777777" w:rsidR="000E2BB3" w:rsidRDefault="00000000">
            <w:pPr>
              <w:spacing w:before="80" w:after="80"/>
              <w:rPr>
                <w:rFonts w:ascii="Times New Roman" w:eastAsia="Times New Roman" w:hAnsi="Times New Roman" w:cs="Times New Roman"/>
              </w:rPr>
            </w:pPr>
            <w:hyperlink r:id="rId70">
              <w:r>
                <w:rPr>
                  <w:rFonts w:ascii="Times New Roman" w:eastAsia="Times New Roman" w:hAnsi="Times New Roman" w:cs="Times New Roman"/>
                  <w:color w:val="1155CC"/>
                  <w:u w:val="single"/>
                </w:rPr>
                <w:t>https://www.iso.org/standard/71677.html</w:t>
              </w:r>
            </w:hyperlink>
          </w:p>
        </w:tc>
      </w:tr>
      <w:tr w:rsidR="000E2BB3" w14:paraId="758DB551" w14:textId="77777777">
        <w:tc>
          <w:tcPr>
            <w:tcW w:w="600" w:type="dxa"/>
            <w:vAlign w:val="center"/>
          </w:tcPr>
          <w:p w14:paraId="7082930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64</w:t>
            </w:r>
          </w:p>
        </w:tc>
        <w:tc>
          <w:tcPr>
            <w:tcW w:w="1740" w:type="dxa"/>
            <w:vAlign w:val="center"/>
          </w:tcPr>
          <w:p w14:paraId="5C4E7C2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5259-1:2024" AND "data quality" AND (analytics OR "machine learning")</w:t>
            </w:r>
          </w:p>
        </w:tc>
        <w:tc>
          <w:tcPr>
            <w:tcW w:w="1155" w:type="dxa"/>
            <w:vAlign w:val="center"/>
          </w:tcPr>
          <w:p w14:paraId="49FEE36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5267A9F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w:t>
            </w:r>
          </w:p>
        </w:tc>
        <w:tc>
          <w:tcPr>
            <w:tcW w:w="2475" w:type="dxa"/>
            <w:vAlign w:val="center"/>
          </w:tcPr>
          <w:p w14:paraId="6DF0024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ISO/IEC 5259-1:2024 Data quality for analytics and machine learning, Part 1</w:t>
            </w:r>
          </w:p>
        </w:tc>
        <w:tc>
          <w:tcPr>
            <w:tcW w:w="2490" w:type="dxa"/>
            <w:vAlign w:val="center"/>
          </w:tcPr>
          <w:p w14:paraId="2B945BAD" w14:textId="77777777" w:rsidR="000E2BB3" w:rsidRDefault="00000000">
            <w:pPr>
              <w:spacing w:before="80" w:after="80"/>
              <w:rPr>
                <w:rFonts w:ascii="Times New Roman" w:eastAsia="Times New Roman" w:hAnsi="Times New Roman" w:cs="Times New Roman"/>
              </w:rPr>
            </w:pPr>
            <w:hyperlink r:id="rId71">
              <w:r>
                <w:rPr>
                  <w:rFonts w:ascii="Times New Roman" w:eastAsia="Times New Roman" w:hAnsi="Times New Roman" w:cs="Times New Roman"/>
                  <w:color w:val="1155CC"/>
                  <w:u w:val="single"/>
                </w:rPr>
                <w:t>https://www.iso.org/standard/81088.html</w:t>
              </w:r>
            </w:hyperlink>
          </w:p>
        </w:tc>
      </w:tr>
      <w:tr w:rsidR="000E2BB3" w14:paraId="21103611" w14:textId="77777777">
        <w:tc>
          <w:tcPr>
            <w:tcW w:w="600" w:type="dxa"/>
            <w:vAlign w:val="center"/>
          </w:tcPr>
          <w:p w14:paraId="5871CA7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65</w:t>
            </w:r>
          </w:p>
        </w:tc>
        <w:tc>
          <w:tcPr>
            <w:tcW w:w="1740" w:type="dxa"/>
            <w:vAlign w:val="center"/>
          </w:tcPr>
          <w:p w14:paraId="2071934C"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site:nist.gov</w:t>
            </w:r>
            <w:proofErr w:type="gramEnd"/>
            <w:r>
              <w:rPr>
                <w:rFonts w:ascii="Times New Roman" w:eastAsia="Times New Roman" w:hAnsi="Times New Roman" w:cs="Times New Roman"/>
              </w:rPr>
              <w:t xml:space="preserve"> "Privacy Framework" AND "version 1.0"</w:t>
            </w:r>
          </w:p>
        </w:tc>
        <w:tc>
          <w:tcPr>
            <w:tcW w:w="1155" w:type="dxa"/>
            <w:vAlign w:val="center"/>
          </w:tcPr>
          <w:p w14:paraId="402C907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Web search, </w:t>
            </w:r>
            <w:proofErr w:type="spellStart"/>
            <w:r>
              <w:rPr>
                <w:rFonts w:ascii="Times New Roman" w:eastAsia="Times New Roman" w:hAnsi="Times New Roman" w:cs="Times New Roman"/>
              </w:rPr>
              <w:t>Crossref</w:t>
            </w:r>
            <w:proofErr w:type="spellEnd"/>
            <w:r>
              <w:rPr>
                <w:rFonts w:ascii="Times New Roman" w:eastAsia="Times New Roman" w:hAnsi="Times New Roman" w:cs="Times New Roman"/>
              </w:rPr>
              <w:t xml:space="preserve"> API</w:t>
            </w:r>
          </w:p>
        </w:tc>
        <w:tc>
          <w:tcPr>
            <w:tcW w:w="1365" w:type="dxa"/>
            <w:vAlign w:val="center"/>
          </w:tcPr>
          <w:p w14:paraId="08AE23F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NIST</w:t>
            </w:r>
          </w:p>
        </w:tc>
        <w:tc>
          <w:tcPr>
            <w:tcW w:w="2475" w:type="dxa"/>
            <w:vAlign w:val="center"/>
          </w:tcPr>
          <w:p w14:paraId="1BA7215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NIST Privacy Framework, version 1.0 (CSWP 01162020)</w:t>
            </w:r>
          </w:p>
        </w:tc>
        <w:tc>
          <w:tcPr>
            <w:tcW w:w="2490" w:type="dxa"/>
            <w:vAlign w:val="center"/>
          </w:tcPr>
          <w:p w14:paraId="75B7A3B4" w14:textId="77777777" w:rsidR="000E2BB3" w:rsidRDefault="00000000">
            <w:pPr>
              <w:spacing w:before="80" w:after="80"/>
              <w:rPr>
                <w:rFonts w:ascii="Times New Roman" w:eastAsia="Times New Roman" w:hAnsi="Times New Roman" w:cs="Times New Roman"/>
              </w:rPr>
            </w:pPr>
            <w:hyperlink r:id="rId72">
              <w:r>
                <w:rPr>
                  <w:rFonts w:ascii="Times New Roman" w:eastAsia="Times New Roman" w:hAnsi="Times New Roman" w:cs="Times New Roman"/>
                  <w:color w:val="1155CC"/>
                  <w:u w:val="single"/>
                </w:rPr>
                <w:t>https://doi.org/10.6028/NIST.CSWP.01162020</w:t>
              </w:r>
            </w:hyperlink>
          </w:p>
        </w:tc>
      </w:tr>
      <w:tr w:rsidR="000E2BB3" w14:paraId="1E07B177" w14:textId="77777777">
        <w:tc>
          <w:tcPr>
            <w:tcW w:w="600" w:type="dxa"/>
            <w:vAlign w:val="center"/>
          </w:tcPr>
          <w:p w14:paraId="05F6DF7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66</w:t>
            </w:r>
          </w:p>
        </w:tc>
        <w:tc>
          <w:tcPr>
            <w:tcW w:w="1740" w:type="dxa"/>
            <w:vAlign w:val="center"/>
          </w:tcPr>
          <w:p w14:paraId="6AE71E3C"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site:nist.gov</w:t>
            </w:r>
            <w:proofErr w:type="gramEnd"/>
            <w:r>
              <w:rPr>
                <w:rFonts w:ascii="Times New Roman" w:eastAsia="Times New Roman" w:hAnsi="Times New Roman" w:cs="Times New Roman"/>
              </w:rPr>
              <w:t xml:space="preserve"> "Privacy Framework 1.1" AND "CSWP 40"</w:t>
            </w:r>
          </w:p>
        </w:tc>
        <w:tc>
          <w:tcPr>
            <w:tcW w:w="1155" w:type="dxa"/>
            <w:vAlign w:val="center"/>
          </w:tcPr>
          <w:p w14:paraId="3F7FCD5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24F68CC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NIST</w:t>
            </w:r>
          </w:p>
        </w:tc>
        <w:tc>
          <w:tcPr>
            <w:tcW w:w="2475" w:type="dxa"/>
            <w:vAlign w:val="center"/>
          </w:tcPr>
          <w:p w14:paraId="218485C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NIST Privacy Framework 1.1, Initial Public Draft (CSWP 40 </w:t>
            </w:r>
            <w:proofErr w:type="spellStart"/>
            <w:r>
              <w:rPr>
                <w:rFonts w:ascii="Times New Roman" w:eastAsia="Times New Roman" w:hAnsi="Times New Roman" w:cs="Times New Roman"/>
              </w:rPr>
              <w:t>ipd</w:t>
            </w:r>
            <w:proofErr w:type="spellEnd"/>
            <w:r>
              <w:rPr>
                <w:rFonts w:ascii="Times New Roman" w:eastAsia="Times New Roman" w:hAnsi="Times New Roman" w:cs="Times New Roman"/>
              </w:rPr>
              <w:t>)</w:t>
            </w:r>
          </w:p>
        </w:tc>
        <w:tc>
          <w:tcPr>
            <w:tcW w:w="2490" w:type="dxa"/>
            <w:vAlign w:val="center"/>
          </w:tcPr>
          <w:p w14:paraId="740C7C41" w14:textId="77777777" w:rsidR="000E2BB3" w:rsidRDefault="00000000">
            <w:pPr>
              <w:spacing w:before="80" w:after="80"/>
              <w:rPr>
                <w:rFonts w:ascii="Times New Roman" w:eastAsia="Times New Roman" w:hAnsi="Times New Roman" w:cs="Times New Roman"/>
              </w:rPr>
            </w:pPr>
            <w:hyperlink r:id="rId73">
              <w:r>
                <w:rPr>
                  <w:rFonts w:ascii="Times New Roman" w:eastAsia="Times New Roman" w:hAnsi="Times New Roman" w:cs="Times New Roman"/>
                  <w:color w:val="1155CC"/>
                  <w:u w:val="single"/>
                </w:rPr>
                <w:t>https://csrc.nist.gov/pubs/cswp/40/nist-privacy-framework-11/ipd</w:t>
              </w:r>
            </w:hyperlink>
          </w:p>
        </w:tc>
      </w:tr>
      <w:tr w:rsidR="000E2BB3" w14:paraId="4E74B28B" w14:textId="77777777">
        <w:tc>
          <w:tcPr>
            <w:tcW w:w="600" w:type="dxa"/>
            <w:vAlign w:val="center"/>
          </w:tcPr>
          <w:p w14:paraId="282FF2A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67</w:t>
            </w:r>
          </w:p>
        </w:tc>
        <w:tc>
          <w:tcPr>
            <w:tcW w:w="1740" w:type="dxa"/>
            <w:vAlign w:val="center"/>
          </w:tcPr>
          <w:p w14:paraId="527BE081"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site:nist.gov</w:t>
            </w:r>
            <w:proofErr w:type="gramEnd"/>
            <w:r>
              <w:rPr>
                <w:rFonts w:ascii="Times New Roman" w:eastAsia="Times New Roman" w:hAnsi="Times New Roman" w:cs="Times New Roman"/>
              </w:rPr>
              <w:t xml:space="preserve"> "AI RMF" AND "100-1"</w:t>
            </w:r>
          </w:p>
        </w:tc>
        <w:tc>
          <w:tcPr>
            <w:tcW w:w="1155" w:type="dxa"/>
            <w:vAlign w:val="center"/>
          </w:tcPr>
          <w:p w14:paraId="7560A2C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Web search, </w:t>
            </w:r>
            <w:proofErr w:type="spellStart"/>
            <w:r>
              <w:rPr>
                <w:rFonts w:ascii="Times New Roman" w:eastAsia="Times New Roman" w:hAnsi="Times New Roman" w:cs="Times New Roman"/>
              </w:rPr>
              <w:t>Crossref</w:t>
            </w:r>
            <w:proofErr w:type="spellEnd"/>
            <w:r>
              <w:rPr>
                <w:rFonts w:ascii="Times New Roman" w:eastAsia="Times New Roman" w:hAnsi="Times New Roman" w:cs="Times New Roman"/>
              </w:rPr>
              <w:t xml:space="preserve"> API</w:t>
            </w:r>
          </w:p>
        </w:tc>
        <w:tc>
          <w:tcPr>
            <w:tcW w:w="1365" w:type="dxa"/>
            <w:vAlign w:val="center"/>
          </w:tcPr>
          <w:p w14:paraId="1751BE6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NIST</w:t>
            </w:r>
          </w:p>
        </w:tc>
        <w:tc>
          <w:tcPr>
            <w:tcW w:w="2475" w:type="dxa"/>
            <w:vAlign w:val="center"/>
          </w:tcPr>
          <w:p w14:paraId="360256E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Artificial Intelligence Risk Management Framework (AI RMF 1.0)</w:t>
            </w:r>
          </w:p>
        </w:tc>
        <w:tc>
          <w:tcPr>
            <w:tcW w:w="2490" w:type="dxa"/>
            <w:vAlign w:val="center"/>
          </w:tcPr>
          <w:p w14:paraId="12CC9B76" w14:textId="77777777" w:rsidR="000E2BB3" w:rsidRDefault="00000000">
            <w:pPr>
              <w:spacing w:before="80" w:after="80"/>
              <w:rPr>
                <w:rFonts w:ascii="Times New Roman" w:eastAsia="Times New Roman" w:hAnsi="Times New Roman" w:cs="Times New Roman"/>
              </w:rPr>
            </w:pPr>
            <w:hyperlink r:id="rId74">
              <w:r>
                <w:rPr>
                  <w:rFonts w:ascii="Times New Roman" w:eastAsia="Times New Roman" w:hAnsi="Times New Roman" w:cs="Times New Roman"/>
                  <w:color w:val="1155CC"/>
                  <w:u w:val="single"/>
                </w:rPr>
                <w:t>https://doi.org/10.6028/NIST.AI.100-1</w:t>
              </w:r>
            </w:hyperlink>
          </w:p>
        </w:tc>
      </w:tr>
      <w:tr w:rsidR="000E2BB3" w14:paraId="47D887C3" w14:textId="77777777">
        <w:tc>
          <w:tcPr>
            <w:tcW w:w="600" w:type="dxa"/>
            <w:vAlign w:val="center"/>
          </w:tcPr>
          <w:p w14:paraId="6DF24C9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68</w:t>
            </w:r>
          </w:p>
        </w:tc>
        <w:tc>
          <w:tcPr>
            <w:tcW w:w="1740" w:type="dxa"/>
            <w:vAlign w:val="center"/>
          </w:tcPr>
          <w:p w14:paraId="03706139"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site:nist.gov</w:t>
            </w:r>
            <w:proofErr w:type="gramEnd"/>
            <w:r>
              <w:rPr>
                <w:rFonts w:ascii="Times New Roman" w:eastAsia="Times New Roman" w:hAnsi="Times New Roman" w:cs="Times New Roman"/>
              </w:rPr>
              <w:t xml:space="preserve"> "SP 800-122" AND </w:t>
            </w:r>
            <w:r>
              <w:rPr>
                <w:rFonts w:ascii="Times New Roman" w:eastAsia="Times New Roman" w:hAnsi="Times New Roman" w:cs="Times New Roman"/>
              </w:rPr>
              <w:lastRenderedPageBreak/>
              <w:t>PII AND confidentiality</w:t>
            </w:r>
          </w:p>
        </w:tc>
        <w:tc>
          <w:tcPr>
            <w:tcW w:w="1155" w:type="dxa"/>
            <w:vAlign w:val="center"/>
          </w:tcPr>
          <w:p w14:paraId="094E75A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Web search, </w:t>
            </w:r>
            <w:proofErr w:type="spellStart"/>
            <w:r>
              <w:rPr>
                <w:rFonts w:ascii="Times New Roman" w:eastAsia="Times New Roman" w:hAnsi="Times New Roman" w:cs="Times New Roman"/>
              </w:rPr>
              <w:lastRenderedPageBreak/>
              <w:t>Crossref</w:t>
            </w:r>
            <w:proofErr w:type="spellEnd"/>
            <w:r>
              <w:rPr>
                <w:rFonts w:ascii="Times New Roman" w:eastAsia="Times New Roman" w:hAnsi="Times New Roman" w:cs="Times New Roman"/>
              </w:rPr>
              <w:t xml:space="preserve"> API</w:t>
            </w:r>
          </w:p>
        </w:tc>
        <w:tc>
          <w:tcPr>
            <w:tcW w:w="1365" w:type="dxa"/>
            <w:vAlign w:val="center"/>
          </w:tcPr>
          <w:p w14:paraId="2203D55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NIST</w:t>
            </w:r>
          </w:p>
        </w:tc>
        <w:tc>
          <w:tcPr>
            <w:tcW w:w="2475" w:type="dxa"/>
            <w:vAlign w:val="center"/>
          </w:tcPr>
          <w:p w14:paraId="081B5BD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Guide to protecting the confidentiality of </w:t>
            </w:r>
            <w:r>
              <w:rPr>
                <w:rFonts w:ascii="Times New Roman" w:eastAsia="Times New Roman" w:hAnsi="Times New Roman" w:cs="Times New Roman"/>
              </w:rPr>
              <w:lastRenderedPageBreak/>
              <w:t>personally identifiable information (SP 800-122)</w:t>
            </w:r>
          </w:p>
        </w:tc>
        <w:tc>
          <w:tcPr>
            <w:tcW w:w="2490" w:type="dxa"/>
            <w:vAlign w:val="center"/>
          </w:tcPr>
          <w:p w14:paraId="1CA02C84" w14:textId="77777777" w:rsidR="000E2BB3" w:rsidRDefault="00000000">
            <w:pPr>
              <w:spacing w:before="80" w:after="80"/>
              <w:rPr>
                <w:rFonts w:ascii="Times New Roman" w:eastAsia="Times New Roman" w:hAnsi="Times New Roman" w:cs="Times New Roman"/>
              </w:rPr>
            </w:pPr>
            <w:hyperlink r:id="rId75">
              <w:r>
                <w:rPr>
                  <w:rFonts w:ascii="Times New Roman" w:eastAsia="Times New Roman" w:hAnsi="Times New Roman" w:cs="Times New Roman"/>
                  <w:color w:val="1155CC"/>
                  <w:u w:val="single"/>
                </w:rPr>
                <w:t>https://doi.org/10.6028/NIST.SP.800-122</w:t>
              </w:r>
            </w:hyperlink>
          </w:p>
        </w:tc>
      </w:tr>
      <w:tr w:rsidR="000E2BB3" w14:paraId="4BE62CAA" w14:textId="77777777">
        <w:tc>
          <w:tcPr>
            <w:tcW w:w="600" w:type="dxa"/>
            <w:vAlign w:val="center"/>
          </w:tcPr>
          <w:p w14:paraId="58DD2C7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69</w:t>
            </w:r>
          </w:p>
        </w:tc>
        <w:tc>
          <w:tcPr>
            <w:tcW w:w="1740" w:type="dxa"/>
            <w:vAlign w:val="center"/>
          </w:tcPr>
          <w:p w14:paraId="37FEB468"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site:nist.gov</w:t>
            </w:r>
            <w:proofErr w:type="gramEnd"/>
            <w:r>
              <w:rPr>
                <w:rFonts w:ascii="Times New Roman" w:eastAsia="Times New Roman" w:hAnsi="Times New Roman" w:cs="Times New Roman"/>
              </w:rPr>
              <w:t xml:space="preserve"> "SP 800-162" AND "</w:t>
            </w:r>
            <w:proofErr w:type="gramStart"/>
            <w:r>
              <w:rPr>
                <w:rFonts w:ascii="Times New Roman" w:eastAsia="Times New Roman" w:hAnsi="Times New Roman" w:cs="Times New Roman"/>
              </w:rPr>
              <w:t>attribute based</w:t>
            </w:r>
            <w:proofErr w:type="gramEnd"/>
            <w:r>
              <w:rPr>
                <w:rFonts w:ascii="Times New Roman" w:eastAsia="Times New Roman" w:hAnsi="Times New Roman" w:cs="Times New Roman"/>
              </w:rPr>
              <w:t xml:space="preserve"> access control"</w:t>
            </w:r>
          </w:p>
        </w:tc>
        <w:tc>
          <w:tcPr>
            <w:tcW w:w="1155" w:type="dxa"/>
            <w:vAlign w:val="center"/>
          </w:tcPr>
          <w:p w14:paraId="415BCCF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Web search, </w:t>
            </w:r>
            <w:proofErr w:type="spellStart"/>
            <w:r>
              <w:rPr>
                <w:rFonts w:ascii="Times New Roman" w:eastAsia="Times New Roman" w:hAnsi="Times New Roman" w:cs="Times New Roman"/>
              </w:rPr>
              <w:t>Crossref</w:t>
            </w:r>
            <w:proofErr w:type="spellEnd"/>
            <w:r>
              <w:rPr>
                <w:rFonts w:ascii="Times New Roman" w:eastAsia="Times New Roman" w:hAnsi="Times New Roman" w:cs="Times New Roman"/>
              </w:rPr>
              <w:t xml:space="preserve"> API</w:t>
            </w:r>
          </w:p>
        </w:tc>
        <w:tc>
          <w:tcPr>
            <w:tcW w:w="1365" w:type="dxa"/>
            <w:vAlign w:val="center"/>
          </w:tcPr>
          <w:p w14:paraId="79D277F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NIST</w:t>
            </w:r>
          </w:p>
        </w:tc>
        <w:tc>
          <w:tcPr>
            <w:tcW w:w="2475" w:type="dxa"/>
            <w:vAlign w:val="center"/>
          </w:tcPr>
          <w:p w14:paraId="1A50477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Guide to attribute based access control (ABAC) definition and considerations (SP 800-162)</w:t>
            </w:r>
          </w:p>
        </w:tc>
        <w:tc>
          <w:tcPr>
            <w:tcW w:w="2490" w:type="dxa"/>
            <w:vAlign w:val="center"/>
          </w:tcPr>
          <w:p w14:paraId="14D1B3AA" w14:textId="77777777" w:rsidR="000E2BB3" w:rsidRDefault="00000000">
            <w:pPr>
              <w:spacing w:before="80" w:after="80"/>
              <w:rPr>
                <w:rFonts w:ascii="Times New Roman" w:eastAsia="Times New Roman" w:hAnsi="Times New Roman" w:cs="Times New Roman"/>
              </w:rPr>
            </w:pPr>
            <w:hyperlink r:id="rId76">
              <w:r>
                <w:rPr>
                  <w:rFonts w:ascii="Times New Roman" w:eastAsia="Times New Roman" w:hAnsi="Times New Roman" w:cs="Times New Roman"/>
                  <w:color w:val="1155CC"/>
                  <w:u w:val="single"/>
                </w:rPr>
                <w:t>https://doi.org/10.6028/NIST.SP.800-162</w:t>
              </w:r>
            </w:hyperlink>
          </w:p>
        </w:tc>
      </w:tr>
      <w:tr w:rsidR="000E2BB3" w14:paraId="3AC1C118" w14:textId="77777777">
        <w:tc>
          <w:tcPr>
            <w:tcW w:w="600" w:type="dxa"/>
            <w:vAlign w:val="center"/>
          </w:tcPr>
          <w:p w14:paraId="584C608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70</w:t>
            </w:r>
          </w:p>
        </w:tc>
        <w:tc>
          <w:tcPr>
            <w:tcW w:w="1740" w:type="dxa"/>
            <w:vAlign w:val="center"/>
          </w:tcPr>
          <w:p w14:paraId="05201508"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site:bis.org</w:t>
            </w:r>
            <w:proofErr w:type="gramEnd"/>
            <w:r>
              <w:rPr>
                <w:rFonts w:ascii="Times New Roman" w:eastAsia="Times New Roman" w:hAnsi="Times New Roman" w:cs="Times New Roman"/>
              </w:rPr>
              <w:t xml:space="preserve"> "risk data aggregation" AND "BCBS 239"</w:t>
            </w:r>
          </w:p>
        </w:tc>
        <w:tc>
          <w:tcPr>
            <w:tcW w:w="1155" w:type="dxa"/>
            <w:vAlign w:val="center"/>
          </w:tcPr>
          <w:p w14:paraId="3AD37C4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5E541F6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Bank for International Settlements</w:t>
            </w:r>
          </w:p>
        </w:tc>
        <w:tc>
          <w:tcPr>
            <w:tcW w:w="2475" w:type="dxa"/>
            <w:vAlign w:val="center"/>
          </w:tcPr>
          <w:p w14:paraId="5C45FB0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Principles for effective risk data aggregation and risk reporting (BCBS 239)</w:t>
            </w:r>
          </w:p>
        </w:tc>
        <w:tc>
          <w:tcPr>
            <w:tcW w:w="2490" w:type="dxa"/>
            <w:vAlign w:val="center"/>
          </w:tcPr>
          <w:p w14:paraId="03BB1282" w14:textId="77777777" w:rsidR="000E2BB3" w:rsidRDefault="00000000">
            <w:pPr>
              <w:spacing w:before="80" w:after="80"/>
              <w:rPr>
                <w:rFonts w:ascii="Times New Roman" w:eastAsia="Times New Roman" w:hAnsi="Times New Roman" w:cs="Times New Roman"/>
              </w:rPr>
            </w:pPr>
            <w:hyperlink r:id="rId77">
              <w:r>
                <w:rPr>
                  <w:rFonts w:ascii="Times New Roman" w:eastAsia="Times New Roman" w:hAnsi="Times New Roman" w:cs="Times New Roman"/>
                  <w:color w:val="1155CC"/>
                  <w:u w:val="single"/>
                </w:rPr>
                <w:t>https://www.bis.org/publ/bcbs239.pdf</w:t>
              </w:r>
            </w:hyperlink>
          </w:p>
        </w:tc>
      </w:tr>
      <w:tr w:rsidR="000E2BB3" w14:paraId="66F5F173" w14:textId="77777777">
        <w:tc>
          <w:tcPr>
            <w:tcW w:w="600" w:type="dxa"/>
            <w:vAlign w:val="center"/>
          </w:tcPr>
          <w:p w14:paraId="3619949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71</w:t>
            </w:r>
          </w:p>
        </w:tc>
        <w:tc>
          <w:tcPr>
            <w:tcW w:w="1740" w:type="dxa"/>
            <w:vAlign w:val="center"/>
          </w:tcPr>
          <w:p w14:paraId="0E65C9F6"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site:bis.org</w:t>
            </w:r>
            <w:proofErr w:type="gramEnd"/>
            <w:r>
              <w:rPr>
                <w:rFonts w:ascii="Times New Roman" w:eastAsia="Times New Roman" w:hAnsi="Times New Roman" w:cs="Times New Roman"/>
              </w:rPr>
              <w:t xml:space="preserve"> "risk data aggregation" AND progress AND 2023</w:t>
            </w:r>
          </w:p>
        </w:tc>
        <w:tc>
          <w:tcPr>
            <w:tcW w:w="1155" w:type="dxa"/>
            <w:vAlign w:val="center"/>
          </w:tcPr>
          <w:p w14:paraId="72018DD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40AABEF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Bank for International Settlements</w:t>
            </w:r>
          </w:p>
        </w:tc>
        <w:tc>
          <w:tcPr>
            <w:tcW w:w="2475" w:type="dxa"/>
            <w:vAlign w:val="center"/>
          </w:tcPr>
          <w:p w14:paraId="716D693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Progress in adopting the </w:t>
            </w:r>
            <w:proofErr w:type="gramStart"/>
            <w:r>
              <w:rPr>
                <w:rFonts w:ascii="Times New Roman" w:eastAsia="Times New Roman" w:hAnsi="Times New Roman" w:cs="Times New Roman"/>
              </w:rPr>
              <w:t>Principles</w:t>
            </w:r>
            <w:proofErr w:type="gramEnd"/>
            <w:r>
              <w:rPr>
                <w:rFonts w:ascii="Times New Roman" w:eastAsia="Times New Roman" w:hAnsi="Times New Roman" w:cs="Times New Roman"/>
              </w:rPr>
              <w:t xml:space="preserve"> for effective risk data aggregation and risk reporting</w:t>
            </w:r>
          </w:p>
        </w:tc>
        <w:tc>
          <w:tcPr>
            <w:tcW w:w="2490" w:type="dxa"/>
            <w:vAlign w:val="center"/>
          </w:tcPr>
          <w:p w14:paraId="0D6B42FF" w14:textId="77777777" w:rsidR="000E2BB3" w:rsidRDefault="00000000">
            <w:pPr>
              <w:spacing w:before="80" w:after="80"/>
              <w:rPr>
                <w:rFonts w:ascii="Times New Roman" w:eastAsia="Times New Roman" w:hAnsi="Times New Roman" w:cs="Times New Roman"/>
              </w:rPr>
            </w:pPr>
            <w:hyperlink r:id="rId78">
              <w:r>
                <w:rPr>
                  <w:rFonts w:ascii="Times New Roman" w:eastAsia="Times New Roman" w:hAnsi="Times New Roman" w:cs="Times New Roman"/>
                  <w:color w:val="1155CC"/>
                  <w:u w:val="single"/>
                </w:rPr>
                <w:t>https://www.bis.org/bcbs/publ/d559.htm</w:t>
              </w:r>
            </w:hyperlink>
          </w:p>
        </w:tc>
      </w:tr>
      <w:tr w:rsidR="000E2BB3" w14:paraId="11E7131A" w14:textId="77777777">
        <w:tc>
          <w:tcPr>
            <w:tcW w:w="600" w:type="dxa"/>
            <w:vAlign w:val="center"/>
          </w:tcPr>
          <w:p w14:paraId="043CA73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72</w:t>
            </w:r>
          </w:p>
        </w:tc>
        <w:tc>
          <w:tcPr>
            <w:tcW w:w="1740" w:type="dxa"/>
            <w:vAlign w:val="center"/>
          </w:tcPr>
          <w:p w14:paraId="25E6B12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"Privacy by Design" AND "7 Foundational Principles" AND Cavoukian</w:t>
            </w:r>
          </w:p>
        </w:tc>
        <w:tc>
          <w:tcPr>
            <w:tcW w:w="1155" w:type="dxa"/>
            <w:vAlign w:val="center"/>
          </w:tcPr>
          <w:p w14:paraId="1E281C4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03D0F50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Information and Privacy Commissioner of Ontario</w:t>
            </w:r>
          </w:p>
        </w:tc>
        <w:tc>
          <w:tcPr>
            <w:tcW w:w="2475" w:type="dxa"/>
            <w:vAlign w:val="center"/>
          </w:tcPr>
          <w:p w14:paraId="0255F53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Privacy by Design: The 7 foundational principles</w:t>
            </w:r>
          </w:p>
        </w:tc>
        <w:tc>
          <w:tcPr>
            <w:tcW w:w="2490" w:type="dxa"/>
            <w:vAlign w:val="center"/>
          </w:tcPr>
          <w:p w14:paraId="36AC7A92" w14:textId="77777777" w:rsidR="000E2BB3" w:rsidRDefault="00000000">
            <w:pPr>
              <w:spacing w:before="80" w:after="80"/>
              <w:rPr>
                <w:rFonts w:ascii="Times New Roman" w:eastAsia="Times New Roman" w:hAnsi="Times New Roman" w:cs="Times New Roman"/>
              </w:rPr>
            </w:pPr>
            <w:hyperlink r:id="rId79">
              <w:r>
                <w:rPr>
                  <w:rFonts w:ascii="Times New Roman" w:eastAsia="Times New Roman" w:hAnsi="Times New Roman" w:cs="Times New Roman"/>
                  <w:color w:val="1155CC"/>
                  <w:u w:val="single"/>
                </w:rPr>
                <w:t>https://www.ipc.on.ca/en/media/1264/download</w:t>
              </w:r>
            </w:hyperlink>
          </w:p>
        </w:tc>
      </w:tr>
      <w:tr w:rsidR="000E2BB3" w14:paraId="08552AFA" w14:textId="77777777">
        <w:tc>
          <w:tcPr>
            <w:tcW w:w="600" w:type="dxa"/>
            <w:vAlign w:val="center"/>
          </w:tcPr>
          <w:p w14:paraId="68D491A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73</w:t>
            </w:r>
          </w:p>
        </w:tc>
        <w:tc>
          <w:tcPr>
            <w:tcW w:w="1740" w:type="dxa"/>
            <w:vAlign w:val="center"/>
          </w:tcPr>
          <w:p w14:paraId="3DE593C2"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site:iapp.org</w:t>
            </w:r>
            <w:proofErr w:type="gramEnd"/>
            <w:r>
              <w:rPr>
                <w:rFonts w:ascii="Times New Roman" w:eastAsia="Times New Roman" w:hAnsi="Times New Roman" w:cs="Times New Roman"/>
              </w:rPr>
              <w:t xml:space="preserve"> "AI governance" AND (profession OR report) AND 2025</w:t>
            </w:r>
          </w:p>
        </w:tc>
        <w:tc>
          <w:tcPr>
            <w:tcW w:w="1155" w:type="dxa"/>
            <w:vAlign w:val="center"/>
          </w:tcPr>
          <w:p w14:paraId="2B62414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w:t>
            </w:r>
          </w:p>
        </w:tc>
        <w:tc>
          <w:tcPr>
            <w:tcW w:w="1365" w:type="dxa"/>
            <w:vAlign w:val="center"/>
          </w:tcPr>
          <w:p w14:paraId="736E5B4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IAPP and Credo AI</w:t>
            </w:r>
          </w:p>
        </w:tc>
        <w:tc>
          <w:tcPr>
            <w:tcW w:w="2475" w:type="dxa"/>
            <w:vAlign w:val="center"/>
          </w:tcPr>
          <w:p w14:paraId="6BB014D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AI governance profession report 2025</w:t>
            </w:r>
          </w:p>
        </w:tc>
        <w:tc>
          <w:tcPr>
            <w:tcW w:w="2490" w:type="dxa"/>
            <w:vAlign w:val="center"/>
          </w:tcPr>
          <w:p w14:paraId="5D1BA350" w14:textId="77777777" w:rsidR="000E2BB3" w:rsidRDefault="00000000">
            <w:pPr>
              <w:spacing w:before="80" w:after="80"/>
              <w:rPr>
                <w:rFonts w:ascii="Times New Roman" w:eastAsia="Times New Roman" w:hAnsi="Times New Roman" w:cs="Times New Roman"/>
              </w:rPr>
            </w:pPr>
            <w:hyperlink r:id="rId80">
              <w:r>
                <w:rPr>
                  <w:rFonts w:ascii="Times New Roman" w:eastAsia="Times New Roman" w:hAnsi="Times New Roman" w:cs="Times New Roman"/>
                  <w:color w:val="1155CC"/>
                  <w:u w:val="single"/>
                </w:rPr>
                <w:t>https://www.iapp.org/resources/article/ai-governance-profession-report</w:t>
              </w:r>
            </w:hyperlink>
          </w:p>
        </w:tc>
      </w:tr>
      <w:tr w:rsidR="000E2BB3" w14:paraId="7E76B084" w14:textId="77777777">
        <w:tc>
          <w:tcPr>
            <w:tcW w:w="600" w:type="dxa"/>
            <w:vAlign w:val="center"/>
          </w:tcPr>
          <w:p w14:paraId="465E766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74</w:t>
            </w:r>
          </w:p>
        </w:tc>
        <w:tc>
          <w:tcPr>
            <w:tcW w:w="1740" w:type="dxa"/>
            <w:vAlign w:val="center"/>
          </w:tcPr>
          <w:p w14:paraId="30F17FD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"Magic Quadrant" AND "Data and Analytics Governance Platforms" AND 2025</w:t>
            </w:r>
          </w:p>
        </w:tc>
        <w:tc>
          <w:tcPr>
            <w:tcW w:w="1155" w:type="dxa"/>
            <w:vAlign w:val="center"/>
          </w:tcPr>
          <w:p w14:paraId="3BC187C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0A83047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Gartner, Inc.</w:t>
            </w:r>
          </w:p>
        </w:tc>
        <w:tc>
          <w:tcPr>
            <w:tcW w:w="2475" w:type="dxa"/>
            <w:vAlign w:val="center"/>
          </w:tcPr>
          <w:p w14:paraId="5F4EDF8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Magic Quadrant for data and analytics governance platforms</w:t>
            </w:r>
          </w:p>
        </w:tc>
        <w:tc>
          <w:tcPr>
            <w:tcW w:w="2490" w:type="dxa"/>
            <w:vAlign w:val="center"/>
          </w:tcPr>
          <w:p w14:paraId="6FE34FBB" w14:textId="77777777" w:rsidR="000E2BB3" w:rsidRDefault="00000000">
            <w:pPr>
              <w:spacing w:before="80" w:after="80"/>
              <w:rPr>
                <w:rFonts w:ascii="Times New Roman" w:eastAsia="Times New Roman" w:hAnsi="Times New Roman" w:cs="Times New Roman"/>
              </w:rPr>
            </w:pPr>
            <w:hyperlink r:id="rId81">
              <w:r>
                <w:rPr>
                  <w:rFonts w:ascii="Times New Roman" w:eastAsia="Times New Roman" w:hAnsi="Times New Roman" w:cs="Times New Roman"/>
                  <w:color w:val="1155CC"/>
                  <w:u w:val="single"/>
                </w:rPr>
                <w:t>https://www.gartner.com/en/documents/6059363</w:t>
              </w:r>
            </w:hyperlink>
          </w:p>
        </w:tc>
      </w:tr>
      <w:tr w:rsidR="000E2BB3" w14:paraId="19AABF07" w14:textId="77777777">
        <w:tc>
          <w:tcPr>
            <w:tcW w:w="600" w:type="dxa"/>
            <w:vAlign w:val="center"/>
          </w:tcPr>
          <w:p w14:paraId="2A5EB44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75</w:t>
            </w:r>
          </w:p>
        </w:tc>
        <w:tc>
          <w:tcPr>
            <w:tcW w:w="1740" w:type="dxa"/>
            <w:vAlign w:val="center"/>
          </w:tcPr>
          <w:p w14:paraId="0E362F02"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site:docs.open-metadata.org</w:t>
            </w:r>
            <w:proofErr w:type="gramEnd"/>
            <w:r>
              <w:rPr>
                <w:rFonts w:ascii="Times New Roman" w:eastAsia="Times New Roman" w:hAnsi="Times New Roman" w:cs="Times New Roman"/>
              </w:rPr>
              <w:t xml:space="preserve"> "auto-classification" AND v2.0.x</w:t>
            </w:r>
          </w:p>
        </w:tc>
        <w:tc>
          <w:tcPr>
            <w:tcW w:w="1155" w:type="dxa"/>
            <w:vAlign w:val="center"/>
          </w:tcPr>
          <w:p w14:paraId="4FB609D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 (site-restricted), docs index (llms.txt)</w:t>
            </w:r>
          </w:p>
        </w:tc>
        <w:tc>
          <w:tcPr>
            <w:tcW w:w="1365" w:type="dxa"/>
            <w:vAlign w:val="center"/>
          </w:tcPr>
          <w:p w14:paraId="15A433BB"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 Collate</w:t>
            </w:r>
          </w:p>
        </w:tc>
        <w:tc>
          <w:tcPr>
            <w:tcW w:w="2475" w:type="dxa"/>
            <w:vAlign w:val="center"/>
          </w:tcPr>
          <w:p w14:paraId="5761505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Auto-classification in </w:t>
            </w: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(v2.0.x)</w:t>
            </w:r>
          </w:p>
        </w:tc>
        <w:tc>
          <w:tcPr>
            <w:tcW w:w="2490" w:type="dxa"/>
            <w:vAlign w:val="center"/>
          </w:tcPr>
          <w:p w14:paraId="4B551245" w14:textId="77777777" w:rsidR="000E2BB3" w:rsidRDefault="00000000">
            <w:pPr>
              <w:spacing w:before="80" w:after="80"/>
              <w:rPr>
                <w:rFonts w:ascii="Times New Roman" w:eastAsia="Times New Roman" w:hAnsi="Times New Roman" w:cs="Times New Roman"/>
              </w:rPr>
            </w:pPr>
            <w:hyperlink r:id="rId82">
              <w:r>
                <w:rPr>
                  <w:rFonts w:ascii="Times New Roman" w:eastAsia="Times New Roman" w:hAnsi="Times New Roman" w:cs="Times New Roman"/>
                  <w:color w:val="1155CC"/>
                  <w:u w:val="single"/>
                </w:rPr>
                <w:t>https://docs.open-metadata.org/v2.0.x/how-to-guides/data-governance/classification/auto-classification</w:t>
              </w:r>
            </w:hyperlink>
          </w:p>
        </w:tc>
      </w:tr>
      <w:tr w:rsidR="000E2BB3" w14:paraId="60FD4135" w14:textId="77777777">
        <w:tc>
          <w:tcPr>
            <w:tcW w:w="600" w:type="dxa"/>
            <w:vAlign w:val="center"/>
          </w:tcPr>
          <w:p w14:paraId="466F40D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76</w:t>
            </w:r>
          </w:p>
        </w:tc>
        <w:tc>
          <w:tcPr>
            <w:tcW w:w="1740" w:type="dxa"/>
            <w:vAlign w:val="center"/>
          </w:tcPr>
          <w:p w14:paraId="35175504"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site:docs.open-metadata.org</w:t>
            </w:r>
            <w:proofErr w:type="gramEnd"/>
            <w:r>
              <w:rPr>
                <w:rFonts w:ascii="Times New Roman" w:eastAsia="Times New Roman" w:hAnsi="Times New Roman" w:cs="Times New Roman"/>
              </w:rPr>
              <w:t xml:space="preserve"> "roles and </w:t>
            </w:r>
            <w:r>
              <w:rPr>
                <w:rFonts w:ascii="Times New Roman" w:eastAsia="Times New Roman" w:hAnsi="Times New Roman" w:cs="Times New Roman"/>
              </w:rPr>
              <w:lastRenderedPageBreak/>
              <w:t>policies" AND v2.0.x</w:t>
            </w:r>
          </w:p>
        </w:tc>
        <w:tc>
          <w:tcPr>
            <w:tcW w:w="1155" w:type="dxa"/>
            <w:vAlign w:val="center"/>
          </w:tcPr>
          <w:p w14:paraId="5B255D4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Docs index (llms.txt)</w:t>
            </w:r>
          </w:p>
        </w:tc>
        <w:tc>
          <w:tcPr>
            <w:tcW w:w="1365" w:type="dxa"/>
            <w:vAlign w:val="center"/>
          </w:tcPr>
          <w:p w14:paraId="43788366"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 Collate</w:t>
            </w:r>
          </w:p>
        </w:tc>
        <w:tc>
          <w:tcPr>
            <w:tcW w:w="2475" w:type="dxa"/>
            <w:vAlign w:val="center"/>
          </w:tcPr>
          <w:p w14:paraId="0155BDA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Advanced guide for roles and policies (v2.0.x)</w:t>
            </w:r>
          </w:p>
        </w:tc>
        <w:tc>
          <w:tcPr>
            <w:tcW w:w="2490" w:type="dxa"/>
            <w:vAlign w:val="center"/>
          </w:tcPr>
          <w:p w14:paraId="51591165" w14:textId="77777777" w:rsidR="000E2BB3" w:rsidRDefault="00000000">
            <w:pPr>
              <w:spacing w:before="80" w:after="80"/>
              <w:rPr>
                <w:rFonts w:ascii="Times New Roman" w:eastAsia="Times New Roman" w:hAnsi="Times New Roman" w:cs="Times New Roman"/>
              </w:rPr>
            </w:pPr>
            <w:hyperlink r:id="rId83">
              <w:r>
                <w:rPr>
                  <w:rFonts w:ascii="Times New Roman" w:eastAsia="Times New Roman" w:hAnsi="Times New Roman" w:cs="Times New Roman"/>
                  <w:color w:val="1155CC"/>
                  <w:u w:val="single"/>
                </w:rPr>
                <w:t>https://docs.open-metadata.org/v2.0.x/how-</w:t>
              </w:r>
              <w:r>
                <w:rPr>
                  <w:rFonts w:ascii="Times New Roman" w:eastAsia="Times New Roman" w:hAnsi="Times New Roman" w:cs="Times New Roman"/>
                  <w:color w:val="1155CC"/>
                  <w:u w:val="single"/>
                </w:rPr>
                <w:lastRenderedPageBreak/>
                <w:t>to-guides/admin-guide/roles-policies</w:t>
              </w:r>
            </w:hyperlink>
          </w:p>
        </w:tc>
      </w:tr>
      <w:tr w:rsidR="000E2BB3" w14:paraId="3145D8E5" w14:textId="77777777">
        <w:tc>
          <w:tcPr>
            <w:tcW w:w="600" w:type="dxa"/>
            <w:vAlign w:val="center"/>
          </w:tcPr>
          <w:p w14:paraId="6EBB7AA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77</w:t>
            </w:r>
          </w:p>
        </w:tc>
        <w:tc>
          <w:tcPr>
            <w:tcW w:w="1740" w:type="dxa"/>
            <w:vAlign w:val="center"/>
          </w:tcPr>
          <w:p w14:paraId="295E1252"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site:docs.open-metadata.org</w:t>
            </w:r>
            <w:proofErr w:type="gramEnd"/>
            <w:r>
              <w:rPr>
                <w:rFonts w:ascii="Times New Roman" w:eastAsia="Times New Roman" w:hAnsi="Times New Roman" w:cs="Times New Roman"/>
              </w:rPr>
              <w:t xml:space="preserve"> "data contract" AND specification AND v2.0.x</w:t>
            </w:r>
          </w:p>
        </w:tc>
        <w:tc>
          <w:tcPr>
            <w:tcW w:w="1155" w:type="dxa"/>
            <w:vAlign w:val="center"/>
          </w:tcPr>
          <w:p w14:paraId="18F1949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Docs index (llms.txt)</w:t>
            </w:r>
          </w:p>
        </w:tc>
        <w:tc>
          <w:tcPr>
            <w:tcW w:w="1365" w:type="dxa"/>
            <w:vAlign w:val="center"/>
          </w:tcPr>
          <w:p w14:paraId="06DEB65C"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 Collate</w:t>
            </w:r>
          </w:p>
        </w:tc>
        <w:tc>
          <w:tcPr>
            <w:tcW w:w="2475" w:type="dxa"/>
            <w:vAlign w:val="center"/>
          </w:tcPr>
          <w:p w14:paraId="290695C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contract specification (v2.0.x)</w:t>
            </w:r>
          </w:p>
        </w:tc>
        <w:tc>
          <w:tcPr>
            <w:tcW w:w="2490" w:type="dxa"/>
            <w:vAlign w:val="center"/>
          </w:tcPr>
          <w:p w14:paraId="7CADC404" w14:textId="77777777" w:rsidR="000E2BB3" w:rsidRDefault="00000000">
            <w:pPr>
              <w:spacing w:before="80" w:after="80"/>
              <w:rPr>
                <w:rFonts w:ascii="Times New Roman" w:eastAsia="Times New Roman" w:hAnsi="Times New Roman" w:cs="Times New Roman"/>
              </w:rPr>
            </w:pPr>
            <w:hyperlink r:id="rId84">
              <w:r>
                <w:rPr>
                  <w:rFonts w:ascii="Times New Roman" w:eastAsia="Times New Roman" w:hAnsi="Times New Roman" w:cs="Times New Roman"/>
                  <w:color w:val="1155CC"/>
                  <w:u w:val="single"/>
                </w:rPr>
                <w:t>https://docs.open-metadata.org/v2.0.x/how-to-guides/data-contracts/spec</w:t>
              </w:r>
            </w:hyperlink>
          </w:p>
        </w:tc>
      </w:tr>
      <w:tr w:rsidR="000E2BB3" w14:paraId="2164F6CF" w14:textId="77777777">
        <w:tc>
          <w:tcPr>
            <w:tcW w:w="600" w:type="dxa"/>
            <w:vAlign w:val="center"/>
          </w:tcPr>
          <w:p w14:paraId="5F9EA46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78</w:t>
            </w:r>
          </w:p>
        </w:tc>
        <w:tc>
          <w:tcPr>
            <w:tcW w:w="1740" w:type="dxa"/>
            <w:vAlign w:val="center"/>
          </w:tcPr>
          <w:p w14:paraId="6414F940" w14:textId="77777777" w:rsidR="000E2BB3" w:rsidRDefault="00000000">
            <w:pPr>
              <w:spacing w:before="80" w:after="80"/>
              <w:rPr>
                <w:rFonts w:ascii="Times New Roman" w:eastAsia="Times New Roman" w:hAnsi="Times New Roman" w:cs="Times New Roman"/>
              </w:rPr>
            </w:pPr>
            <w:proofErr w:type="gramStart"/>
            <w:r>
              <w:rPr>
                <w:rFonts w:ascii="Times New Roman" w:eastAsia="Times New Roman" w:hAnsi="Times New Roman" w:cs="Times New Roman"/>
              </w:rPr>
              <w:t>site:docs.open-metadata.org</w:t>
            </w:r>
            <w:proofErr w:type="gramEnd"/>
            <w:r>
              <w:rPr>
                <w:rFonts w:ascii="Times New Roman" w:eastAsia="Times New Roman" w:hAnsi="Times New Roman" w:cs="Times New Roman"/>
              </w:rPr>
              <w:t xml:space="preserve"> MCP AND server AND v2.0.x</w:t>
            </w:r>
          </w:p>
        </w:tc>
        <w:tc>
          <w:tcPr>
            <w:tcW w:w="1155" w:type="dxa"/>
            <w:vAlign w:val="center"/>
          </w:tcPr>
          <w:p w14:paraId="13AAE83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Docs index (llms.txt)</w:t>
            </w:r>
          </w:p>
        </w:tc>
        <w:tc>
          <w:tcPr>
            <w:tcW w:w="1365" w:type="dxa"/>
            <w:vAlign w:val="center"/>
          </w:tcPr>
          <w:p w14:paraId="1E9A4E69"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 Collate</w:t>
            </w:r>
          </w:p>
        </w:tc>
        <w:tc>
          <w:tcPr>
            <w:tcW w:w="2475" w:type="dxa"/>
            <w:vAlign w:val="center"/>
          </w:tcPr>
          <w:p w14:paraId="20BEC4E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MCP server (v2.0.x)</w:t>
            </w:r>
          </w:p>
        </w:tc>
        <w:tc>
          <w:tcPr>
            <w:tcW w:w="2490" w:type="dxa"/>
            <w:vAlign w:val="center"/>
          </w:tcPr>
          <w:p w14:paraId="519377BA" w14:textId="77777777" w:rsidR="000E2BB3" w:rsidRDefault="00000000">
            <w:pPr>
              <w:spacing w:before="80" w:after="80"/>
              <w:rPr>
                <w:rFonts w:ascii="Times New Roman" w:eastAsia="Times New Roman" w:hAnsi="Times New Roman" w:cs="Times New Roman"/>
              </w:rPr>
            </w:pPr>
            <w:hyperlink r:id="rId85">
              <w:r>
                <w:rPr>
                  <w:rFonts w:ascii="Times New Roman" w:eastAsia="Times New Roman" w:hAnsi="Times New Roman" w:cs="Times New Roman"/>
                  <w:color w:val="1155CC"/>
                  <w:u w:val="single"/>
                </w:rPr>
                <w:t>https://docs.open-metadata.org/v2.0.x/how-to-guides/mcp</w:t>
              </w:r>
            </w:hyperlink>
          </w:p>
        </w:tc>
      </w:tr>
      <w:tr w:rsidR="000E2BB3" w14:paraId="261A3E8F" w14:textId="77777777">
        <w:tc>
          <w:tcPr>
            <w:tcW w:w="600" w:type="dxa"/>
            <w:vAlign w:val="center"/>
          </w:tcPr>
          <w:p w14:paraId="395D2DA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79</w:t>
            </w:r>
          </w:p>
        </w:tc>
        <w:tc>
          <w:tcPr>
            <w:tcW w:w="1740" w:type="dxa"/>
            <w:vAlign w:val="center"/>
          </w:tcPr>
          <w:p w14:paraId="46AE34D1"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classification_filter</w:t>
            </w:r>
            <w:proofErr w:type="spellEnd"/>
            <w:r>
              <w:rPr>
                <w:rFonts w:ascii="Times New Roman" w:eastAsia="Times New Roman" w:hAnsi="Times New Roman" w:cs="Times New Roman"/>
              </w:rPr>
              <w:t xml:space="preserve"> AND PII (repository open-metadata/</w:t>
            </w: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tag 2.0.5-release, path ingestion/</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/metadata)</w:t>
            </w:r>
          </w:p>
        </w:tc>
        <w:tc>
          <w:tcPr>
            <w:tcW w:w="1155" w:type="dxa"/>
            <w:vAlign w:val="center"/>
          </w:tcPr>
          <w:p w14:paraId="242D102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GitHub (repository tree and code inspection)</w:t>
            </w:r>
          </w:p>
        </w:tc>
        <w:tc>
          <w:tcPr>
            <w:tcW w:w="1365" w:type="dxa"/>
            <w:vAlign w:val="center"/>
          </w:tcPr>
          <w:p w14:paraId="6FD1033A"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contributors</w:t>
            </w:r>
          </w:p>
        </w:tc>
        <w:tc>
          <w:tcPr>
            <w:tcW w:w="2475" w:type="dxa"/>
            <w:vAlign w:val="center"/>
          </w:tcPr>
          <w:p w14:paraId="4075B338"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2.0.5, ingestion/src/metadata/workflow/classification.py</w:t>
            </w:r>
          </w:p>
        </w:tc>
        <w:tc>
          <w:tcPr>
            <w:tcW w:w="2490" w:type="dxa"/>
            <w:vAlign w:val="center"/>
          </w:tcPr>
          <w:p w14:paraId="7E693B70" w14:textId="77777777" w:rsidR="000E2BB3" w:rsidRDefault="00000000">
            <w:pPr>
              <w:spacing w:before="80" w:after="80"/>
              <w:rPr>
                <w:rFonts w:ascii="Times New Roman" w:eastAsia="Times New Roman" w:hAnsi="Times New Roman" w:cs="Times New Roman"/>
              </w:rPr>
            </w:pPr>
            <w:hyperlink r:id="rId86">
              <w:r>
                <w:rPr>
                  <w:rFonts w:ascii="Times New Roman" w:eastAsia="Times New Roman" w:hAnsi="Times New Roman" w:cs="Times New Roman"/>
                  <w:color w:val="1155CC"/>
                  <w:u w:val="single"/>
                </w:rPr>
                <w:t>https://github.com/open-metadata/OpenMetadata/blob/2.0.5-release/ingestion/src/metadata/workflow/classification.py</w:t>
              </w:r>
            </w:hyperlink>
          </w:p>
        </w:tc>
      </w:tr>
      <w:tr w:rsidR="000E2BB3" w14:paraId="1FC93D44" w14:textId="77777777">
        <w:tc>
          <w:tcPr>
            <w:tcW w:w="600" w:type="dxa"/>
            <w:vAlign w:val="center"/>
          </w:tcPr>
          <w:p w14:paraId="57DECBF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80</w:t>
            </w:r>
          </w:p>
        </w:tc>
        <w:tc>
          <w:tcPr>
            <w:tcW w:w="1740" w:type="dxa"/>
            <w:vAlign w:val="center"/>
          </w:tcPr>
          <w:p w14:paraId="1944932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Presidio AND ("de-identification" OR "PII detection") AND Microsoft</w:t>
            </w:r>
          </w:p>
        </w:tc>
        <w:tc>
          <w:tcPr>
            <w:tcW w:w="1155" w:type="dxa"/>
            <w:vAlign w:val="center"/>
          </w:tcPr>
          <w:p w14:paraId="76CE551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Web search</w:t>
            </w:r>
          </w:p>
        </w:tc>
        <w:tc>
          <w:tcPr>
            <w:tcW w:w="1365" w:type="dxa"/>
            <w:vAlign w:val="center"/>
          </w:tcPr>
          <w:p w14:paraId="64A38BA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Microsoft</w:t>
            </w:r>
          </w:p>
        </w:tc>
        <w:tc>
          <w:tcPr>
            <w:tcW w:w="2475" w:type="dxa"/>
            <w:vAlign w:val="center"/>
          </w:tcPr>
          <w:p w14:paraId="713265C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Presidio: Data protection and de-identification SDK</w:t>
            </w:r>
          </w:p>
        </w:tc>
        <w:tc>
          <w:tcPr>
            <w:tcW w:w="2490" w:type="dxa"/>
            <w:vAlign w:val="center"/>
          </w:tcPr>
          <w:p w14:paraId="35768B42" w14:textId="77777777" w:rsidR="000E2BB3" w:rsidRDefault="00000000">
            <w:pPr>
              <w:spacing w:before="80" w:after="80"/>
              <w:rPr>
                <w:rFonts w:ascii="Times New Roman" w:eastAsia="Times New Roman" w:hAnsi="Times New Roman" w:cs="Times New Roman"/>
              </w:rPr>
            </w:pPr>
            <w:hyperlink r:id="rId87">
              <w:r>
                <w:rPr>
                  <w:rFonts w:ascii="Times New Roman" w:eastAsia="Times New Roman" w:hAnsi="Times New Roman" w:cs="Times New Roman"/>
                  <w:color w:val="1155CC"/>
                  <w:u w:val="single"/>
                </w:rPr>
                <w:t>https://microsoft.github.io/presidio/</w:t>
              </w:r>
            </w:hyperlink>
          </w:p>
        </w:tc>
      </w:tr>
    </w:tbl>
    <w:p w14:paraId="06402ED3" w14:textId="77777777" w:rsidR="000E2BB3" w:rsidRDefault="000E2BB3">
      <w:pPr>
        <w:pBdr>
          <w:top w:val="nil"/>
          <w:left w:val="nil"/>
          <w:bottom w:val="nil"/>
          <w:right w:val="nil"/>
          <w:between w:val="nil"/>
        </w:pBdr>
        <w:ind w:left="720"/>
        <w:rPr>
          <w:rFonts w:ascii="Times New Roman" w:eastAsia="Times New Roman" w:hAnsi="Times New Roman" w:cs="Times New Roman"/>
          <w:color w:val="000000"/>
        </w:rPr>
      </w:pPr>
    </w:p>
    <w:p w14:paraId="67511550" w14:textId="77777777" w:rsidR="000E2BB3" w:rsidRDefault="00000000">
      <w:pPr>
        <w:pStyle w:val="Heading1"/>
        <w:numPr>
          <w:ilvl w:val="0"/>
          <w:numId w:val="1"/>
        </w:numPr>
        <w:rPr>
          <w:rFonts w:ascii="Times New Roman" w:eastAsia="Times New Roman" w:hAnsi="Times New Roman" w:cs="Times New Roman"/>
        </w:rPr>
      </w:pPr>
      <w:bookmarkStart w:id="1" w:name="_heading=h.hetn1uvpitr6" w:colFirst="0" w:colLast="0"/>
      <w:bookmarkEnd w:id="1"/>
      <w:r>
        <w:rPr>
          <w:rFonts w:ascii="Times New Roman" w:eastAsia="Times New Roman" w:hAnsi="Times New Roman" w:cs="Times New Roman"/>
        </w:rPr>
        <w:t>Sources evaluation</w:t>
      </w:r>
    </w:p>
    <w:p w14:paraId="2CAB94E6" w14:textId="77777777" w:rsidR="000E2BB3" w:rsidRDefault="00000000">
      <w:pPr>
        <w:numPr>
          <w:ilvl w:val="0"/>
          <w:numId w:val="2"/>
        </w:num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Evidence 1:</w:t>
      </w:r>
    </w:p>
    <w:tbl>
      <w:tblPr>
        <w:tblStyle w:val="a2"/>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EF54995" w14:textId="77777777">
        <w:trPr>
          <w:jc w:val="center"/>
        </w:trPr>
        <w:tc>
          <w:tcPr>
            <w:tcW w:w="5112" w:type="dxa"/>
            <w:shd w:val="clear" w:color="auto" w:fill="FFF2CB"/>
            <w:vAlign w:val="center"/>
          </w:tcPr>
          <w:p w14:paraId="4D7C188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CC64FEF"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sz w:val="24"/>
                <w:szCs w:val="24"/>
                <w:highlight w:val="white"/>
              </w:rPr>
              <w:t>Backbase</w:t>
            </w:r>
            <w:proofErr w:type="spellEnd"/>
            <w:r>
              <w:rPr>
                <w:rFonts w:ascii="Times New Roman" w:eastAsia="Times New Roman" w:hAnsi="Times New Roman" w:cs="Times New Roman"/>
                <w:sz w:val="24"/>
                <w:szCs w:val="24"/>
                <w:highlight w:val="white"/>
              </w:rPr>
              <w:t>. (2026).</w:t>
            </w:r>
            <w:r>
              <w:rPr>
                <w:rFonts w:ascii="Times New Roman" w:eastAsia="Times New Roman" w:hAnsi="Times New Roman" w:cs="Times New Roman"/>
                <w:highlight w:val="white"/>
              </w:rPr>
              <w:t xml:space="preserve"> </w:t>
            </w:r>
            <w:r>
              <w:rPr>
                <w:rFonts w:ascii="Times New Roman" w:eastAsia="Times New Roman" w:hAnsi="Times New Roman" w:cs="Times New Roman"/>
                <w:sz w:val="24"/>
                <w:szCs w:val="24"/>
                <w:highlight w:val="white"/>
              </w:rPr>
              <w:t>AI governance in banking: the complete guide for 2026</w:t>
            </w:r>
            <w:r>
              <w:rPr>
                <w:rFonts w:ascii="Times New Roman" w:eastAsia="Times New Roman" w:hAnsi="Times New Roman" w:cs="Times New Roman"/>
              </w:rPr>
              <w:t xml:space="preserve"> </w:t>
            </w:r>
          </w:p>
        </w:tc>
      </w:tr>
      <w:tr w:rsidR="000E2BB3" w14:paraId="495EE994" w14:textId="77777777">
        <w:trPr>
          <w:jc w:val="center"/>
        </w:trPr>
        <w:tc>
          <w:tcPr>
            <w:tcW w:w="5112" w:type="dxa"/>
            <w:shd w:val="clear" w:color="auto" w:fill="FFF2CB"/>
            <w:vAlign w:val="center"/>
          </w:tcPr>
          <w:p w14:paraId="3314B7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CC0BEA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Journal article</w:t>
            </w:r>
          </w:p>
        </w:tc>
      </w:tr>
      <w:tr w:rsidR="000E2BB3" w14:paraId="057C2475" w14:textId="77777777">
        <w:trPr>
          <w:jc w:val="center"/>
        </w:trPr>
        <w:tc>
          <w:tcPr>
            <w:tcW w:w="5112" w:type="dxa"/>
            <w:shd w:val="clear" w:color="auto" w:fill="FFF2CB"/>
            <w:vAlign w:val="center"/>
          </w:tcPr>
          <w:p w14:paraId="5933B5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FCA787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Partial</w:t>
            </w:r>
          </w:p>
        </w:tc>
      </w:tr>
      <w:tr w:rsidR="000E2BB3" w14:paraId="013DF147" w14:textId="77777777">
        <w:trPr>
          <w:jc w:val="center"/>
        </w:trPr>
        <w:tc>
          <w:tcPr>
            <w:tcW w:w="5112" w:type="dxa"/>
            <w:shd w:val="clear" w:color="auto" w:fill="FFF2CB"/>
            <w:vAlign w:val="center"/>
          </w:tcPr>
          <w:p w14:paraId="068F4AF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23B8A85"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rPr>
              <w:t>Backbase</w:t>
            </w:r>
            <w:proofErr w:type="spellEnd"/>
            <w:r>
              <w:rPr>
                <w:rFonts w:ascii="Times New Roman" w:eastAsia="Times New Roman" w:hAnsi="Times New Roman" w:cs="Times New Roman"/>
              </w:rPr>
              <w:t xml:space="preserve"> is </w:t>
            </w:r>
            <w:r>
              <w:rPr>
                <w:rFonts w:ascii="Times New Roman" w:eastAsia="Times New Roman" w:hAnsi="Times New Roman" w:cs="Times New Roman"/>
                <w:b/>
                <w:bCs/>
              </w:rPr>
              <w:t>a financial technology company that provides an AI-native Banking Operating System (OS) for banks and credit unions</w:t>
            </w:r>
          </w:p>
        </w:tc>
      </w:tr>
      <w:tr w:rsidR="000E2BB3" w14:paraId="1D7E49A0" w14:textId="77777777">
        <w:trPr>
          <w:jc w:val="center"/>
        </w:trPr>
        <w:tc>
          <w:tcPr>
            <w:tcW w:w="5112" w:type="dxa"/>
            <w:shd w:val="clear" w:color="auto" w:fill="FFF2CB"/>
            <w:vAlign w:val="center"/>
          </w:tcPr>
          <w:p w14:paraId="405DE5E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D4A39E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Pros: Risk of AI Governance in banking</w:t>
            </w:r>
          </w:p>
          <w:p w14:paraId="539BDD1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Limitations: Does not mention anything about the tool data governance</w:t>
            </w:r>
          </w:p>
        </w:tc>
      </w:tr>
      <w:tr w:rsidR="000E2BB3" w14:paraId="030C0B10" w14:textId="77777777">
        <w:trPr>
          <w:jc w:val="center"/>
        </w:trPr>
        <w:tc>
          <w:tcPr>
            <w:tcW w:w="5112" w:type="dxa"/>
            <w:shd w:val="clear" w:color="auto" w:fill="FFF2CB"/>
            <w:vAlign w:val="center"/>
          </w:tcPr>
          <w:p w14:paraId="10DB39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Screening Decision (Include / Exclude / Pending)</w:t>
            </w:r>
          </w:p>
        </w:tc>
        <w:tc>
          <w:tcPr>
            <w:tcW w:w="5112" w:type="dxa"/>
            <w:vAlign w:val="center"/>
          </w:tcPr>
          <w:p w14:paraId="4536A3D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Should Include: some risks in banking that needs governance to control</w:t>
            </w:r>
          </w:p>
          <w:p w14:paraId="5C389DD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Exclude: “How to implement AI governance in Banking” -&gt; The group will find our own tool implementation for the project</w:t>
            </w:r>
          </w:p>
        </w:tc>
      </w:tr>
    </w:tbl>
    <w:p w14:paraId="00112302" w14:textId="77777777" w:rsidR="000E2BB3" w:rsidRDefault="000E2BB3">
      <w:pPr>
        <w:pBdr>
          <w:top w:val="nil"/>
          <w:left w:val="nil"/>
          <w:bottom w:val="nil"/>
          <w:right w:val="nil"/>
          <w:between w:val="nil"/>
        </w:pBdr>
        <w:spacing w:after="0"/>
        <w:ind w:left="720"/>
        <w:rPr>
          <w:rFonts w:ascii="Times New Roman" w:eastAsia="Times New Roman" w:hAnsi="Times New Roman" w:cs="Times New Roman"/>
          <w:color w:val="000000"/>
        </w:rPr>
      </w:pPr>
      <w:bookmarkStart w:id="2" w:name="_heading=h.5w6rwpicybo5" w:colFirst="0" w:colLast="0"/>
      <w:bookmarkEnd w:id="2"/>
    </w:p>
    <w:p w14:paraId="2C78AE11" w14:textId="77777777" w:rsidR="000E2BB3" w:rsidRDefault="00000000">
      <w:pPr>
        <w:numPr>
          <w:ilvl w:val="0"/>
          <w:numId w:val="2"/>
        </w:num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Evidence 2:</w:t>
      </w:r>
    </w:p>
    <w:tbl>
      <w:tblPr>
        <w:tblStyle w:val="a3"/>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74D62D2" w14:textId="77777777">
        <w:trPr>
          <w:jc w:val="center"/>
        </w:trPr>
        <w:tc>
          <w:tcPr>
            <w:tcW w:w="5112" w:type="dxa"/>
            <w:shd w:val="clear" w:color="auto" w:fill="FFF2CB"/>
            <w:vAlign w:val="center"/>
          </w:tcPr>
          <w:p w14:paraId="2CBA7E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98D93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Brotcke, L. (2024) 'Explainability Challenges Are a Growing Concern for Bank Governance of AI', The RMA Journal, 106(6), 44+, available: </w:t>
            </w:r>
            <w:hyperlink r:id="rId88">
              <w:r>
                <w:rPr>
                  <w:rFonts w:ascii="Times New Roman" w:eastAsia="Times New Roman" w:hAnsi="Times New Roman" w:cs="Times New Roman"/>
                  <w:color w:val="0563C1"/>
                  <w:sz w:val="24"/>
                  <w:szCs w:val="24"/>
                  <w:u w:val="single"/>
                </w:rPr>
                <w:t>https://link.gale.com/apps/doc/A814376582/ITBC?u=otta77973&amp;sid=bookmark-ITBC&amp;xid=1ee381ce</w:t>
              </w:r>
            </w:hyperlink>
            <w:r>
              <w:rPr>
                <w:rFonts w:ascii="Times New Roman" w:eastAsia="Times New Roman" w:hAnsi="Times New Roman" w:cs="Times New Roman"/>
                <w:sz w:val="24"/>
                <w:szCs w:val="24"/>
              </w:rPr>
              <w:t xml:space="preserve">  </w:t>
            </w:r>
          </w:p>
        </w:tc>
      </w:tr>
      <w:tr w:rsidR="000E2BB3" w14:paraId="423C8BC1" w14:textId="77777777">
        <w:trPr>
          <w:jc w:val="center"/>
        </w:trPr>
        <w:tc>
          <w:tcPr>
            <w:tcW w:w="5112" w:type="dxa"/>
            <w:shd w:val="clear" w:color="auto" w:fill="FFF2CB"/>
            <w:vAlign w:val="center"/>
          </w:tcPr>
          <w:p w14:paraId="0ED4DF2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780C6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Journal article</w:t>
            </w:r>
          </w:p>
        </w:tc>
      </w:tr>
      <w:tr w:rsidR="000E2BB3" w14:paraId="4403E339" w14:textId="77777777">
        <w:trPr>
          <w:jc w:val="center"/>
        </w:trPr>
        <w:tc>
          <w:tcPr>
            <w:tcW w:w="5112" w:type="dxa"/>
            <w:shd w:val="clear" w:color="auto" w:fill="FFF2CB"/>
            <w:vAlign w:val="center"/>
          </w:tcPr>
          <w:p w14:paraId="27CA45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5C866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Partial</w:t>
            </w:r>
          </w:p>
        </w:tc>
      </w:tr>
      <w:tr w:rsidR="000E2BB3" w14:paraId="0002CAF2" w14:textId="77777777">
        <w:trPr>
          <w:jc w:val="center"/>
        </w:trPr>
        <w:tc>
          <w:tcPr>
            <w:tcW w:w="5112" w:type="dxa"/>
            <w:shd w:val="clear" w:color="auto" w:fill="FFF2CB"/>
            <w:vAlign w:val="center"/>
          </w:tcPr>
          <w:p w14:paraId="6430E1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24C31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Authority</w:t>
            </w:r>
          </w:p>
        </w:tc>
      </w:tr>
      <w:tr w:rsidR="000E2BB3" w14:paraId="3A59B98D" w14:textId="77777777">
        <w:trPr>
          <w:jc w:val="center"/>
        </w:trPr>
        <w:tc>
          <w:tcPr>
            <w:tcW w:w="5112" w:type="dxa"/>
            <w:shd w:val="clear" w:color="auto" w:fill="FFF2CB"/>
            <w:vAlign w:val="center"/>
          </w:tcPr>
          <w:p w14:paraId="063045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4F104E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Pros: history of how AI implemented in bank</w:t>
            </w:r>
          </w:p>
          <w:p w14:paraId="2D553E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Limitations: Does not mention anything about the tool data governance</w:t>
            </w:r>
          </w:p>
        </w:tc>
      </w:tr>
      <w:tr w:rsidR="000E2BB3" w14:paraId="52DC4FBE" w14:textId="77777777">
        <w:trPr>
          <w:jc w:val="center"/>
        </w:trPr>
        <w:tc>
          <w:tcPr>
            <w:tcW w:w="5112" w:type="dxa"/>
            <w:shd w:val="clear" w:color="auto" w:fill="FFF2CB"/>
            <w:vAlign w:val="center"/>
          </w:tcPr>
          <w:p w14:paraId="1F3038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7FCA89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Not using this one in the project, just for understanding reference</w:t>
            </w:r>
          </w:p>
        </w:tc>
      </w:tr>
    </w:tbl>
    <w:p w14:paraId="68EC1046" w14:textId="77777777" w:rsidR="000E2BB3" w:rsidRDefault="000E2BB3">
      <w:pPr>
        <w:rPr>
          <w:rFonts w:ascii="Times New Roman" w:eastAsia="Times New Roman" w:hAnsi="Times New Roman" w:cs="Times New Roman"/>
        </w:rPr>
      </w:pPr>
    </w:p>
    <w:p w14:paraId="43394EFB" w14:textId="77777777" w:rsidR="000E2BB3" w:rsidRDefault="00000000">
      <w:pPr>
        <w:numPr>
          <w:ilvl w:val="0"/>
          <w:numId w:val="2"/>
        </w:num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 Evidence 3:</w:t>
      </w:r>
    </w:p>
    <w:tbl>
      <w:tblPr>
        <w:tblStyle w:val="a4"/>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AD5F36A" w14:textId="77777777">
        <w:trPr>
          <w:jc w:val="center"/>
        </w:trPr>
        <w:tc>
          <w:tcPr>
            <w:tcW w:w="5112" w:type="dxa"/>
            <w:shd w:val="clear" w:color="auto" w:fill="FFF2CB"/>
            <w:vAlign w:val="center"/>
          </w:tcPr>
          <w:p w14:paraId="0897CF3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2F48D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rPr>
              <w:t xml:space="preserve">The Impact of Modern AI in Metadata Management </w:t>
            </w:r>
            <w:proofErr w:type="spellStart"/>
            <w:r>
              <w:rPr>
                <w:rFonts w:ascii="Times New Roman" w:eastAsia="Times New Roman" w:hAnsi="Times New Roman" w:cs="Times New Roman"/>
              </w:rPr>
              <w:t>Wenli</w:t>
            </w:r>
            <w:proofErr w:type="spellEnd"/>
            <w:r>
              <w:rPr>
                <w:rFonts w:ascii="Times New Roman" w:eastAsia="Times New Roman" w:hAnsi="Times New Roman" w:cs="Times New Roman"/>
              </w:rPr>
              <w:t xml:space="preserve"> Yang, Rui Fu1, Muhammad Bilal Amin, Byeong Kang1 Received: 23 March 2025 / Revised: 1 July 2025 / Accepted: 7 July 2025</w:t>
            </w:r>
          </w:p>
        </w:tc>
      </w:tr>
      <w:tr w:rsidR="000E2BB3" w14:paraId="601EBFD8" w14:textId="77777777">
        <w:trPr>
          <w:jc w:val="center"/>
        </w:trPr>
        <w:tc>
          <w:tcPr>
            <w:tcW w:w="5112" w:type="dxa"/>
            <w:shd w:val="clear" w:color="auto" w:fill="FFF2CB"/>
            <w:vAlign w:val="center"/>
          </w:tcPr>
          <w:p w14:paraId="3CE8029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BB8804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Journal (Human-Centric Intelligent Systems)</w:t>
            </w:r>
          </w:p>
        </w:tc>
      </w:tr>
      <w:tr w:rsidR="000E2BB3" w14:paraId="7C17FD6A" w14:textId="77777777">
        <w:trPr>
          <w:jc w:val="center"/>
        </w:trPr>
        <w:tc>
          <w:tcPr>
            <w:tcW w:w="5112" w:type="dxa"/>
            <w:shd w:val="clear" w:color="auto" w:fill="FFF2CB"/>
            <w:vAlign w:val="center"/>
          </w:tcPr>
          <w:p w14:paraId="16B2B25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606F6FA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Direct</w:t>
            </w:r>
          </w:p>
          <w:p w14:paraId="2E1BCD56" w14:textId="77777777" w:rsidR="000E2BB3" w:rsidRDefault="000E2BB3">
            <w:pPr>
              <w:spacing w:before="80" w:after="80"/>
              <w:rPr>
                <w:rFonts w:ascii="Times New Roman" w:eastAsia="Times New Roman" w:hAnsi="Times New Roman" w:cs="Times New Roman"/>
              </w:rPr>
            </w:pPr>
          </w:p>
          <w:p w14:paraId="7BA12A6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The paper specifically analyzes AI driven metadata management and its critical role in enhancing data governance. </w:t>
            </w:r>
          </w:p>
          <w:p w14:paraId="70E4297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It directly addresses the project's use case by highlighting </w:t>
            </w:r>
            <w:proofErr w:type="spellStart"/>
            <w:r>
              <w:rPr>
                <w:rFonts w:ascii="Times New Roman" w:eastAsia="Times New Roman" w:hAnsi="Times New Roman" w:cs="Times New Roman"/>
              </w:rPr>
              <w:t>OpenMetadata</w:t>
            </w:r>
            <w:proofErr w:type="spellEnd"/>
            <w:r>
              <w:rPr>
                <w:rFonts w:ascii="Times New Roman" w:eastAsia="Times New Roman" w:hAnsi="Times New Roman" w:cs="Times New Roman"/>
              </w:rPr>
              <w:t xml:space="preserve"> as a prominent AI-driven open-source platform that automates sensitive data tagging and streamlines compliance tasks.</w:t>
            </w:r>
          </w:p>
        </w:tc>
      </w:tr>
      <w:tr w:rsidR="000E2BB3" w14:paraId="71B9DFB2" w14:textId="77777777">
        <w:trPr>
          <w:jc w:val="center"/>
        </w:trPr>
        <w:tc>
          <w:tcPr>
            <w:tcW w:w="5112" w:type="dxa"/>
            <w:shd w:val="clear" w:color="auto" w:fill="FFF2CB"/>
            <w:vAlign w:val="center"/>
          </w:tcPr>
          <w:p w14:paraId="3F61D27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26D38B3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High</w:t>
            </w:r>
          </w:p>
          <w:p w14:paraId="1C90F6CE" w14:textId="77777777" w:rsidR="000E2BB3" w:rsidRDefault="000E2BB3">
            <w:pPr>
              <w:spacing w:before="80" w:after="80"/>
              <w:rPr>
                <w:rFonts w:ascii="Times New Roman" w:eastAsia="Times New Roman" w:hAnsi="Times New Roman" w:cs="Times New Roman"/>
              </w:rPr>
            </w:pPr>
          </w:p>
          <w:p w14:paraId="0059024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Cited by 70 people</w:t>
            </w:r>
          </w:p>
        </w:tc>
      </w:tr>
      <w:tr w:rsidR="000E2BB3" w14:paraId="1C8F9FDF" w14:textId="77777777">
        <w:trPr>
          <w:jc w:val="center"/>
        </w:trPr>
        <w:tc>
          <w:tcPr>
            <w:tcW w:w="5112" w:type="dxa"/>
            <w:shd w:val="clear" w:color="auto" w:fill="FFF2CB"/>
            <w:vAlign w:val="center"/>
          </w:tcPr>
          <w:p w14:paraId="02C7917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D23AC2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framework that they are proposing is conceptual and needs real world validation</w:t>
            </w:r>
          </w:p>
        </w:tc>
      </w:tr>
      <w:tr w:rsidR="000E2BB3" w14:paraId="5A885D6C" w14:textId="77777777">
        <w:trPr>
          <w:jc w:val="center"/>
        </w:trPr>
        <w:tc>
          <w:tcPr>
            <w:tcW w:w="5112" w:type="dxa"/>
            <w:shd w:val="clear" w:color="auto" w:fill="FFF2CB"/>
            <w:vAlign w:val="center"/>
          </w:tcPr>
          <w:p w14:paraId="4CF500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E29F42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Include</w:t>
            </w:r>
          </w:p>
        </w:tc>
      </w:tr>
    </w:tbl>
    <w:p w14:paraId="3C74EF98" w14:textId="77777777" w:rsidR="000E2BB3" w:rsidRDefault="000E2BB3">
      <w:pPr>
        <w:rPr>
          <w:rFonts w:ascii="Times New Roman" w:eastAsia="Times New Roman" w:hAnsi="Times New Roman" w:cs="Times New Roman"/>
        </w:rPr>
      </w:pPr>
    </w:p>
    <w:p w14:paraId="6D18819E" w14:textId="77777777" w:rsidR="000E2BB3" w:rsidRDefault="00000000">
      <w:pPr>
        <w:numPr>
          <w:ilvl w:val="0"/>
          <w:numId w:val="2"/>
        </w:num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Evidence 4:</w:t>
      </w:r>
    </w:p>
    <w:tbl>
      <w:tblPr>
        <w:tblStyle w:val="a5"/>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3A7CC77" w14:textId="77777777">
        <w:trPr>
          <w:jc w:val="center"/>
        </w:trPr>
        <w:tc>
          <w:tcPr>
            <w:tcW w:w="5112" w:type="dxa"/>
            <w:shd w:val="clear" w:color="auto" w:fill="FFF2CB"/>
            <w:vAlign w:val="center"/>
          </w:tcPr>
          <w:p w14:paraId="60317D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5B09DE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Superintendent of Financial Institutions (OSFI) and Financial Consumer Agency of Canada (FCAC). (2024). OSFI-FCAC Risk Report: AI Uses and Risks at Federally Regulated Financial Institutions.</w:t>
            </w:r>
          </w:p>
        </w:tc>
      </w:tr>
      <w:tr w:rsidR="000E2BB3" w14:paraId="7D9A4108" w14:textId="77777777">
        <w:trPr>
          <w:jc w:val="center"/>
        </w:trPr>
        <w:tc>
          <w:tcPr>
            <w:tcW w:w="5112" w:type="dxa"/>
            <w:shd w:val="clear" w:color="auto" w:fill="FFF2CB"/>
            <w:vAlign w:val="center"/>
          </w:tcPr>
          <w:p w14:paraId="175BC7A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706092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Government / financial-sector risk report</w:t>
            </w:r>
          </w:p>
        </w:tc>
      </w:tr>
      <w:tr w:rsidR="000E2BB3" w14:paraId="06515180" w14:textId="77777777">
        <w:trPr>
          <w:jc w:val="center"/>
        </w:trPr>
        <w:tc>
          <w:tcPr>
            <w:tcW w:w="5112" w:type="dxa"/>
            <w:shd w:val="clear" w:color="auto" w:fill="FFF2CB"/>
            <w:vAlign w:val="center"/>
          </w:tcPr>
          <w:p w14:paraId="21BDD9A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B52A36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Partial</w:t>
            </w:r>
          </w:p>
          <w:p w14:paraId="7C5426F8" w14:textId="77777777" w:rsidR="000E2BB3" w:rsidRDefault="000E2BB3">
            <w:pPr>
              <w:spacing w:before="80" w:after="80"/>
              <w:rPr>
                <w:rFonts w:ascii="Times New Roman" w:eastAsia="Times New Roman" w:hAnsi="Times New Roman" w:cs="Times New Roman"/>
              </w:rPr>
            </w:pPr>
          </w:p>
          <w:p w14:paraId="4367F5E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The report discusses AI-related risks in financial institutions, including data privacy, security, data governance, data quality, and operational risks. </w:t>
            </w:r>
          </w:p>
        </w:tc>
      </w:tr>
      <w:tr w:rsidR="000E2BB3" w14:paraId="1E48AF86" w14:textId="77777777">
        <w:trPr>
          <w:jc w:val="center"/>
        </w:trPr>
        <w:tc>
          <w:tcPr>
            <w:tcW w:w="5112" w:type="dxa"/>
            <w:shd w:val="clear" w:color="auto" w:fill="FFF2CB"/>
            <w:vAlign w:val="center"/>
          </w:tcPr>
          <w:p w14:paraId="78B03F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1C90D87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High. </w:t>
            </w:r>
          </w:p>
          <w:p w14:paraId="7BCDFD36" w14:textId="77777777" w:rsidR="000E2BB3" w:rsidRDefault="000E2BB3">
            <w:pPr>
              <w:spacing w:before="80" w:after="80"/>
              <w:rPr>
                <w:rFonts w:ascii="Times New Roman" w:eastAsia="Times New Roman" w:hAnsi="Times New Roman" w:cs="Times New Roman"/>
              </w:rPr>
            </w:pPr>
          </w:p>
          <w:p w14:paraId="2877FD9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OSFI is Canada's federal financial-institution regulator, and FCAC is responsible for consumer protection in the financial sector. The report draws on a questionnaire of financial institutions and other publications.</w:t>
            </w:r>
          </w:p>
        </w:tc>
      </w:tr>
      <w:tr w:rsidR="000E2BB3" w14:paraId="08DD4B48" w14:textId="77777777">
        <w:trPr>
          <w:jc w:val="center"/>
        </w:trPr>
        <w:tc>
          <w:tcPr>
            <w:tcW w:w="5112" w:type="dxa"/>
            <w:shd w:val="clear" w:color="auto" w:fill="FFF2CB"/>
            <w:vAlign w:val="center"/>
          </w:tcPr>
          <w:p w14:paraId="658272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86DD6F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report covers broad AI adoption in financial institutions rather than focusing exclusively on AI-generated code for relational database pipelines. Its findings do not independently demonstrate the effectiveness of a specific governance tool.</w:t>
            </w:r>
          </w:p>
        </w:tc>
      </w:tr>
      <w:tr w:rsidR="000E2BB3" w14:paraId="236700F1" w14:textId="77777777">
        <w:trPr>
          <w:trHeight w:val="964"/>
          <w:jc w:val="center"/>
        </w:trPr>
        <w:tc>
          <w:tcPr>
            <w:tcW w:w="5112" w:type="dxa"/>
            <w:shd w:val="clear" w:color="auto" w:fill="FFF2CB"/>
            <w:vAlign w:val="center"/>
          </w:tcPr>
          <w:p w14:paraId="2C9DB27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Screening Decision (Include / Exclude / Pending)</w:t>
            </w:r>
          </w:p>
        </w:tc>
        <w:tc>
          <w:tcPr>
            <w:tcW w:w="5112" w:type="dxa"/>
            <w:vAlign w:val="center"/>
          </w:tcPr>
          <w:p w14:paraId="38D3761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This is a strong source for identifying banking-specific risks and establishing the need for data governance, access controls, and validation procedures.</w:t>
            </w:r>
          </w:p>
        </w:tc>
      </w:tr>
    </w:tbl>
    <w:p w14:paraId="419BDF30" w14:textId="77777777" w:rsidR="000E2BB3" w:rsidRDefault="000E2BB3">
      <w:pPr>
        <w:rPr>
          <w:rFonts w:ascii="Times New Roman" w:eastAsia="Times New Roman" w:hAnsi="Times New Roman" w:cs="Times New Roman"/>
        </w:rPr>
      </w:pPr>
    </w:p>
    <w:p w14:paraId="13CE12C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Evidence 5: Use it to establish why AI governance matters in banking-related institutions </w:t>
      </w:r>
    </w:p>
    <w:tbl>
      <w:tblPr>
        <w:tblStyle w:val="a6"/>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2C2C728" w14:textId="77777777">
        <w:trPr>
          <w:jc w:val="center"/>
        </w:trPr>
        <w:tc>
          <w:tcPr>
            <w:tcW w:w="5112" w:type="dxa"/>
            <w:shd w:val="clear" w:color="auto" w:fill="FFF2CB"/>
            <w:vAlign w:val="center"/>
          </w:tcPr>
          <w:p w14:paraId="63B303B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5A1FF0F" w14:textId="77777777" w:rsidR="000E2BB3" w:rsidRDefault="00000000">
            <w:pPr>
              <w:spacing w:before="80"/>
              <w:rPr>
                <w:rFonts w:ascii="Times New Roman" w:eastAsia="Times New Roman" w:hAnsi="Times New Roman" w:cs="Times New Roman"/>
                <w:sz w:val="24"/>
                <w:szCs w:val="24"/>
              </w:rPr>
            </w:pPr>
            <w:r>
              <w:rPr>
                <w:rFonts w:ascii="Times New Roman" w:eastAsia="Times New Roman" w:hAnsi="Times New Roman" w:cs="Times New Roman"/>
              </w:rPr>
              <w:t xml:space="preserve">Artificial intelligence in central banks: Governance and </w:t>
            </w:r>
            <w:proofErr w:type="gramStart"/>
            <w:r>
              <w:rPr>
                <w:rFonts w:ascii="Times New Roman" w:eastAsia="Times New Roman" w:hAnsi="Times New Roman" w:cs="Times New Roman"/>
              </w:rPr>
              <w:t xml:space="preserve">implementation, </w:t>
            </w:r>
            <w:r>
              <w:rPr>
                <w:rFonts w:ascii="Times New Roman" w:eastAsia="Times New Roman" w:hAnsi="Times New Roman" w:cs="Times New Roman"/>
                <w:highlight w:val="white"/>
              </w:rPr>
              <w:t xml:space="preserve"> </w:t>
            </w:r>
            <w:r>
              <w:rPr>
                <w:rFonts w:ascii="Times New Roman" w:eastAsia="Times New Roman" w:hAnsi="Times New Roman" w:cs="Times New Roman"/>
              </w:rPr>
              <w:t>Douglas</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Kiarelly</w:t>
            </w:r>
            <w:proofErr w:type="spellEnd"/>
            <w:r>
              <w:rPr>
                <w:rFonts w:ascii="Times New Roman" w:eastAsia="Times New Roman" w:hAnsi="Times New Roman" w:cs="Times New Roman"/>
              </w:rPr>
              <w:t xml:space="preserve"> Godoy De Araujo, Rafael Schmidt, Olivier Sirello, Bruno Tissot and Ricardo Villarreal. (2025)</w:t>
            </w:r>
          </w:p>
        </w:tc>
      </w:tr>
      <w:tr w:rsidR="000E2BB3" w14:paraId="5E4C2672" w14:textId="77777777">
        <w:trPr>
          <w:jc w:val="center"/>
        </w:trPr>
        <w:tc>
          <w:tcPr>
            <w:tcW w:w="5112" w:type="dxa"/>
            <w:shd w:val="clear" w:color="auto" w:fill="FFF2CB"/>
            <w:vAlign w:val="center"/>
          </w:tcPr>
          <w:p w14:paraId="555F01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8D4FF1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Journal article</w:t>
            </w:r>
          </w:p>
        </w:tc>
      </w:tr>
      <w:tr w:rsidR="000E2BB3" w14:paraId="3B0661DE" w14:textId="77777777">
        <w:trPr>
          <w:jc w:val="center"/>
        </w:trPr>
        <w:tc>
          <w:tcPr>
            <w:tcW w:w="5112" w:type="dxa"/>
            <w:shd w:val="clear" w:color="auto" w:fill="FFF2CB"/>
            <w:vAlign w:val="center"/>
          </w:tcPr>
          <w:p w14:paraId="2A6BC9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42282F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Direct</w:t>
            </w:r>
          </w:p>
        </w:tc>
      </w:tr>
      <w:tr w:rsidR="000E2BB3" w14:paraId="0F2D05BF" w14:textId="77777777">
        <w:trPr>
          <w:jc w:val="center"/>
        </w:trPr>
        <w:tc>
          <w:tcPr>
            <w:tcW w:w="5112" w:type="dxa"/>
            <w:shd w:val="clear" w:color="auto" w:fill="FFF2CB"/>
            <w:vAlign w:val="center"/>
          </w:tcPr>
          <w:p w14:paraId="7EE567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1B9C7A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Peer reviewed, Authority</w:t>
            </w:r>
          </w:p>
        </w:tc>
      </w:tr>
      <w:tr w:rsidR="000E2BB3" w14:paraId="2128FB83" w14:textId="77777777">
        <w:trPr>
          <w:jc w:val="center"/>
        </w:trPr>
        <w:tc>
          <w:tcPr>
            <w:tcW w:w="5112" w:type="dxa"/>
            <w:shd w:val="clear" w:color="auto" w:fill="FFF2CB"/>
            <w:vAlign w:val="center"/>
          </w:tcPr>
          <w:p w14:paraId="4D422D1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EC8370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Bias:  The articles provide the issues related to the adoption of AI, enhancing AI governance as data governance solution, mitigating risk and central bank’s solutions, AI Impact on IT systems (opportunities, challenges and trade-offs), the future of AI in data banking. </w:t>
            </w:r>
          </w:p>
          <w:p w14:paraId="61F4BEF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=&gt; mainly as background literature. The paper shows that central banks use AI for coding and data processing and are concerned about privacy, cybersecurity, and governance</w:t>
            </w:r>
          </w:p>
          <w:p w14:paraId="054E1FD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Limitations: does not directly test whether AI-assisted coding causes security or data-validation failures in banking data pipelines </w:t>
            </w:r>
          </w:p>
        </w:tc>
      </w:tr>
      <w:tr w:rsidR="000E2BB3" w14:paraId="7D766713" w14:textId="77777777">
        <w:trPr>
          <w:jc w:val="center"/>
        </w:trPr>
        <w:tc>
          <w:tcPr>
            <w:tcW w:w="5112" w:type="dxa"/>
            <w:shd w:val="clear" w:color="auto" w:fill="FFF2CB"/>
            <w:vAlign w:val="center"/>
          </w:tcPr>
          <w:p w14:paraId="3C459A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5356BD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Include (mainly as </w:t>
            </w:r>
            <w:r>
              <w:rPr>
                <w:rFonts w:ascii="Times New Roman" w:eastAsia="Times New Roman" w:hAnsi="Times New Roman" w:cs="Times New Roman"/>
                <w:b/>
                <w:bCs/>
              </w:rPr>
              <w:t>background literature</w:t>
            </w:r>
            <w:r>
              <w:rPr>
                <w:rFonts w:ascii="Times New Roman" w:eastAsia="Times New Roman" w:hAnsi="Times New Roman" w:cs="Times New Roman"/>
              </w:rPr>
              <w:t>. )</w:t>
            </w:r>
          </w:p>
        </w:tc>
      </w:tr>
    </w:tbl>
    <w:p w14:paraId="425D338C" w14:textId="77777777" w:rsidR="000E2BB3" w:rsidRDefault="000E2BB3">
      <w:pPr>
        <w:rPr>
          <w:rFonts w:ascii="Times New Roman" w:eastAsia="Times New Roman" w:hAnsi="Times New Roman" w:cs="Times New Roman"/>
        </w:rPr>
      </w:pPr>
    </w:p>
    <w:p w14:paraId="0C8F4E11" w14:textId="77777777" w:rsidR="000E2BB3" w:rsidRDefault="000E2BB3">
      <w:pPr>
        <w:rPr>
          <w:rFonts w:ascii="Times New Roman" w:eastAsia="Times New Roman" w:hAnsi="Times New Roman" w:cs="Times New Roman"/>
        </w:rPr>
      </w:pPr>
    </w:p>
    <w:p w14:paraId="70B28B3C" w14:textId="77777777" w:rsidR="000E2BB3" w:rsidRDefault="000E2BB3">
      <w:pPr>
        <w:rPr>
          <w:rFonts w:ascii="Times New Roman" w:eastAsia="Times New Roman" w:hAnsi="Times New Roman" w:cs="Times New Roman"/>
        </w:rPr>
      </w:pPr>
    </w:p>
    <w:p w14:paraId="0C946B5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w:t>
      </w:r>
    </w:p>
    <w:sdt>
      <w:sdtPr>
        <w:tag w:val="goog_rdk_0"/>
        <w:id w:val="229893316"/>
        <w:lock w:val="contentLocked"/>
      </w:sdtPr>
      <w:sdtContent>
        <w:tbl>
          <w:tblPr>
            <w:tblStyle w:val="a7"/>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1A826A4" w14:textId="77777777">
            <w:trPr>
              <w:jc w:val="center"/>
            </w:trPr>
            <w:tc>
              <w:tcPr>
                <w:tcW w:w="5112" w:type="dxa"/>
                <w:shd w:val="clear" w:color="auto" w:fill="FFF2CB"/>
                <w:vAlign w:val="center"/>
              </w:tcPr>
              <w:p w14:paraId="34E5D94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70CCF38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Lee, J., &amp; Darbellay, A. (Eds.). (2022). Data governance in AI, fintech and legaltech: Law and regulation in the financial sector. Edward Elgar Publishing</w:t>
                </w:r>
              </w:p>
            </w:tc>
          </w:tr>
          <w:tr w:rsidR="000E2BB3" w14:paraId="3C6ED118" w14:textId="77777777">
            <w:trPr>
              <w:jc w:val="center"/>
            </w:trPr>
            <w:tc>
              <w:tcPr>
                <w:tcW w:w="5112" w:type="dxa"/>
                <w:shd w:val="clear" w:color="auto" w:fill="FFF2CB"/>
                <w:vAlign w:val="center"/>
              </w:tcPr>
              <w:p w14:paraId="2ADF20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Category (Journal, standard, report)</w:t>
                </w:r>
              </w:p>
            </w:tc>
            <w:tc>
              <w:tcPr>
                <w:tcW w:w="5112" w:type="dxa"/>
                <w:vAlign w:val="center"/>
              </w:tcPr>
              <w:p w14:paraId="4CFDB75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Edited academic book / Research monograph collection</w:t>
                </w:r>
              </w:p>
            </w:tc>
          </w:tr>
          <w:tr w:rsidR="000E2BB3" w14:paraId="5F5F5241" w14:textId="77777777">
            <w:trPr>
              <w:jc w:val="center"/>
            </w:trPr>
            <w:tc>
              <w:tcPr>
                <w:tcW w:w="5112" w:type="dxa"/>
                <w:shd w:val="clear" w:color="auto" w:fill="FFF2CB"/>
                <w:vAlign w:val="center"/>
              </w:tcPr>
              <w:p w14:paraId="025851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12BFB9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Direct </w:t>
                </w:r>
              </w:p>
            </w:tc>
          </w:tr>
          <w:tr w:rsidR="000E2BB3" w14:paraId="5AE3FBE1" w14:textId="77777777">
            <w:trPr>
              <w:jc w:val="center"/>
            </w:trPr>
            <w:tc>
              <w:tcPr>
                <w:tcW w:w="5112" w:type="dxa"/>
                <w:shd w:val="clear" w:color="auto" w:fill="FFF2CB"/>
                <w:vAlign w:val="center"/>
              </w:tcPr>
              <w:p w14:paraId="66E3714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E7CF58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High. Published by Edward Elgar Publishing with contributions from recognized legal and financial technology scholars specializing in data regulation. Retrieved directly via the uOttawa Omni Library catalogue</w:t>
                </w:r>
              </w:p>
            </w:tc>
          </w:tr>
          <w:tr w:rsidR="000E2BB3" w14:paraId="21957EB3" w14:textId="77777777">
            <w:trPr>
              <w:jc w:val="center"/>
            </w:trPr>
            <w:tc>
              <w:tcPr>
                <w:tcW w:w="5112" w:type="dxa"/>
                <w:shd w:val="clear" w:color="auto" w:fill="FFF2CB"/>
                <w:vAlign w:val="center"/>
              </w:tcPr>
              <w:p w14:paraId="7742DD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B3E0D4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Pros: Focuses primarily on regulatory compliance, legal liability, and institutional governance frameworks rather than granular software engineering implementation details.</w:t>
                </w:r>
              </w:p>
              <w:p w14:paraId="768F82A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Cons: Does not detail specific code generation tools or open-source relational database data pipelines.</w:t>
                </w:r>
              </w:p>
              <w:p w14:paraId="7A942D29" w14:textId="77777777" w:rsidR="000E2BB3" w:rsidRDefault="000E2BB3">
                <w:pPr>
                  <w:spacing w:before="80" w:after="80"/>
                  <w:rPr>
                    <w:rFonts w:ascii="Times New Roman" w:eastAsia="Times New Roman" w:hAnsi="Times New Roman" w:cs="Times New Roman"/>
                  </w:rPr>
                </w:pPr>
              </w:p>
            </w:tc>
          </w:tr>
          <w:tr w:rsidR="000E2BB3" w14:paraId="6BE02599" w14:textId="77777777">
            <w:trPr>
              <w:jc w:val="center"/>
            </w:trPr>
            <w:tc>
              <w:tcPr>
                <w:tcW w:w="5112" w:type="dxa"/>
                <w:shd w:val="clear" w:color="auto" w:fill="FFF2CB"/>
                <w:vAlign w:val="center"/>
              </w:tcPr>
              <w:p w14:paraId="7F2A55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62A3280"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Include (serves as a core academic reference for financial sector data governance and regulatory accountability).</w:t>
                </w:r>
              </w:p>
            </w:tc>
          </w:tr>
        </w:tbl>
      </w:sdtContent>
    </w:sdt>
    <w:p w14:paraId="110F5B44" w14:textId="77777777" w:rsidR="000E2BB3" w:rsidRDefault="000E2BB3">
      <w:pPr>
        <w:rPr>
          <w:rFonts w:ascii="Times New Roman" w:eastAsia="Times New Roman" w:hAnsi="Times New Roman" w:cs="Times New Roman"/>
        </w:rPr>
      </w:pPr>
    </w:p>
    <w:p w14:paraId="152CFCC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w:t>
      </w:r>
    </w:p>
    <w:sdt>
      <w:sdtPr>
        <w:tag w:val="goog_rdk_1"/>
        <w:id w:val="1139686482"/>
        <w:lock w:val="contentLocked"/>
      </w:sdtPr>
      <w:sdtContent>
        <w:tbl>
          <w:tblPr>
            <w:tblStyle w:val="a8"/>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D0CE85B" w14:textId="77777777">
            <w:trPr>
              <w:jc w:val="center"/>
            </w:trPr>
            <w:tc>
              <w:tcPr>
                <w:tcW w:w="5112" w:type="dxa"/>
                <w:shd w:val="clear" w:color="auto" w:fill="FFF2CB"/>
                <w:vAlign w:val="center"/>
              </w:tcPr>
              <w:p w14:paraId="79E9EC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E2F6400" w14:textId="77777777" w:rsidR="000E2BB3" w:rsidRDefault="00000000">
                <w:pPr>
                  <w:jc w:val="both"/>
                  <w:rPr>
                    <w:rFonts w:ascii="Times New Roman" w:eastAsia="Times New Roman" w:hAnsi="Times New Roman" w:cs="Times New Roman"/>
                  </w:rPr>
                </w:pPr>
                <w:r>
                  <w:rPr>
                    <w:rFonts w:ascii="Times New Roman" w:eastAsia="Times New Roman" w:hAnsi="Times New Roman" w:cs="Times New Roman"/>
                  </w:rPr>
                  <w:t>Issues in data governance. Irving Fisher Committee on Central Bank Statistics</w:t>
                </w:r>
              </w:p>
              <w:p w14:paraId="1B1C0588" w14:textId="77777777" w:rsidR="000E2BB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rPr>
                  <w:t>(IFC). IFC Bulletin 54. (July 2021)</w:t>
                </w:r>
              </w:p>
            </w:tc>
          </w:tr>
          <w:tr w:rsidR="000E2BB3" w14:paraId="79229FB4" w14:textId="77777777">
            <w:trPr>
              <w:jc w:val="center"/>
            </w:trPr>
            <w:tc>
              <w:tcPr>
                <w:tcW w:w="5112" w:type="dxa"/>
                <w:shd w:val="clear" w:color="auto" w:fill="FFF2CB"/>
                <w:vAlign w:val="center"/>
              </w:tcPr>
              <w:p w14:paraId="133ABC8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F5E8BB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Report</w:t>
                </w:r>
              </w:p>
            </w:tc>
          </w:tr>
          <w:tr w:rsidR="000E2BB3" w14:paraId="60F3E069" w14:textId="77777777">
            <w:trPr>
              <w:jc w:val="center"/>
            </w:trPr>
            <w:tc>
              <w:tcPr>
                <w:tcW w:w="5112" w:type="dxa"/>
                <w:shd w:val="clear" w:color="auto" w:fill="FFF2CB"/>
                <w:vAlign w:val="center"/>
              </w:tcPr>
              <w:p w14:paraId="4055AD6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1E95F2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Direct</w:t>
                </w:r>
              </w:p>
            </w:tc>
          </w:tr>
          <w:tr w:rsidR="000E2BB3" w14:paraId="41741FB7" w14:textId="77777777">
            <w:trPr>
              <w:jc w:val="center"/>
            </w:trPr>
            <w:tc>
              <w:tcPr>
                <w:tcW w:w="5112" w:type="dxa"/>
                <w:shd w:val="clear" w:color="auto" w:fill="FFF2CB"/>
                <w:vAlign w:val="center"/>
              </w:tcPr>
              <w:p w14:paraId="06F5116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2A9A6E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Authority. </w:t>
                </w:r>
                <w:r>
                  <w:rPr>
                    <w:rFonts w:ascii="Times New Roman" w:eastAsia="Times New Roman" w:hAnsi="Times New Roman" w:cs="Times New Roman"/>
                    <w:i/>
                    <w:iCs/>
                  </w:rPr>
                  <w:t>IFC Bulletin No. 54</w:t>
                </w:r>
                <w:r>
                  <w:rPr>
                    <w:rFonts w:ascii="Times New Roman" w:eastAsia="Times New Roman" w:hAnsi="Times New Roman" w:cs="Times New Roman"/>
                  </w:rPr>
                  <w:t xml:space="preserve"> is a </w:t>
                </w:r>
                <w:r>
                  <w:rPr>
                    <w:rFonts w:ascii="Times New Roman" w:eastAsia="Times New Roman" w:hAnsi="Times New Roman" w:cs="Times New Roman"/>
                    <w:b/>
                    <w:bCs/>
                  </w:rPr>
                  <w:t>conference proceedings volume</w:t>
                </w:r>
                <w:r>
                  <w:rPr>
                    <w:rFonts w:ascii="Times New Roman" w:eastAsia="Times New Roman" w:hAnsi="Times New Roman" w:cs="Times New Roman"/>
                  </w:rPr>
                  <w:t xml:space="preserve"> published by the Bank for International Settlements’ Irving Fisher Committee in 2021 </w:t>
                </w:r>
              </w:p>
            </w:tc>
          </w:tr>
          <w:tr w:rsidR="000E2BB3" w14:paraId="4DF4E832" w14:textId="77777777">
            <w:trPr>
              <w:jc w:val="center"/>
            </w:trPr>
            <w:tc>
              <w:tcPr>
                <w:tcW w:w="5112" w:type="dxa"/>
                <w:shd w:val="clear" w:color="auto" w:fill="FFF2CB"/>
                <w:vAlign w:val="center"/>
              </w:tcPr>
              <w:p w14:paraId="1EF193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4BD857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Potential sector Bias: The contributors focus on central banks and official-statistics teams. Their priorities may not represent commercial banks’ software-development team </w:t>
                </w:r>
                <w:r>
                  <w:rPr>
                    <w:rFonts w:ascii="Times New Roman" w:eastAsia="Times New Roman" w:hAnsi="Times New Roman" w:cs="Times New Roman"/>
                  </w:rPr>
                  <w:br/>
                  <w:t xml:space="preserve">Limitations: </w:t>
                </w:r>
                <w:r>
                  <w:rPr>
                    <w:rFonts w:ascii="Times New Roman" w:eastAsia="Times New Roman" w:hAnsi="Times New Roman" w:cs="Times New Roman"/>
                  </w:rPr>
                  <w:br/>
                  <w:t>- It is largely descriptive: examples such as automated validation in Tunisia are not accompanied by measured error reduction or security outcomes</w:t>
                </w:r>
              </w:p>
              <w:p w14:paraId="65B6DF5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It predates widespread generative AI coding tools, so it does not examine AI-generated pipeline code, related data leaks, or validation defects.</w:t>
                </w:r>
              </w:p>
              <w:p w14:paraId="33A382D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Its governance frameworks explain what controls and roles to establish, but do not test which controls work best for AI-assisted pipeline modernization</w:t>
                </w:r>
              </w:p>
              <w:p w14:paraId="22DE872F" w14:textId="77777777" w:rsidR="000E2BB3" w:rsidRDefault="000E2BB3">
                <w:pPr>
                  <w:spacing w:before="80" w:after="80"/>
                  <w:rPr>
                    <w:rFonts w:ascii="Times New Roman" w:eastAsia="Times New Roman" w:hAnsi="Times New Roman" w:cs="Times New Roman"/>
                  </w:rPr>
                </w:pPr>
              </w:p>
            </w:tc>
          </w:tr>
          <w:tr w:rsidR="000E2BB3" w14:paraId="198E764A" w14:textId="77777777">
            <w:trPr>
              <w:jc w:val="center"/>
            </w:trPr>
            <w:tc>
              <w:tcPr>
                <w:tcW w:w="5112" w:type="dxa"/>
                <w:shd w:val="clear" w:color="auto" w:fill="FFF2CB"/>
                <w:vAlign w:val="center"/>
              </w:tcPr>
              <w:p w14:paraId="477CA3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Screening Decision (Include / Exclude / Pending)</w:t>
                </w:r>
              </w:p>
            </w:tc>
            <w:tc>
              <w:tcPr>
                <w:tcW w:w="5112" w:type="dxa"/>
                <w:vAlign w:val="center"/>
              </w:tcPr>
              <w:p w14:paraId="138612D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Can be included as background evidence, not a core study. The bulletin is relevant to data validation, security, and governance in central-bank data systems (page 8, 12, 19–22). It does not study AI-assisted coding or measure risks in modernized banking pipelines, so it cannot answer the full research question by itself</w:t>
                </w:r>
              </w:p>
            </w:tc>
          </w:tr>
        </w:tbl>
      </w:sdtContent>
    </w:sdt>
    <w:p w14:paraId="095CABBC" w14:textId="77777777" w:rsidR="000E2BB3" w:rsidRDefault="000E2BB3">
      <w:pPr>
        <w:rPr>
          <w:rFonts w:ascii="Times New Roman" w:eastAsia="Times New Roman" w:hAnsi="Times New Roman" w:cs="Times New Roman"/>
        </w:rPr>
      </w:pPr>
    </w:p>
    <w:p w14:paraId="4334FD4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8:</w:t>
      </w:r>
    </w:p>
    <w:sdt>
      <w:sdtPr>
        <w:tag w:val="goog_rdk_2"/>
        <w:id w:val="-1445546757"/>
        <w:lock w:val="contentLocked"/>
      </w:sdtPr>
      <w:sdtContent>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07CA16A" w14:textId="77777777">
            <w:trPr>
              <w:jc w:val="center"/>
            </w:trPr>
            <w:tc>
              <w:tcPr>
                <w:tcW w:w="5112" w:type="dxa"/>
                <w:shd w:val="clear" w:color="auto" w:fill="FFF2CB"/>
                <w:vAlign w:val="center"/>
              </w:tcPr>
              <w:p w14:paraId="62E546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0C27E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W. Yang, R. Fu, M. B. Amin, B. Kang, “The Impact of Modern AI in Metadata Management,” 2025</w:t>
                </w:r>
              </w:p>
            </w:tc>
          </w:tr>
          <w:tr w:rsidR="000E2BB3" w14:paraId="523FC67E" w14:textId="77777777">
            <w:trPr>
              <w:jc w:val="center"/>
            </w:trPr>
            <w:tc>
              <w:tcPr>
                <w:tcW w:w="5112" w:type="dxa"/>
                <w:shd w:val="clear" w:color="auto" w:fill="FFF2CB"/>
                <w:vAlign w:val="center"/>
              </w:tcPr>
              <w:p w14:paraId="184924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91C002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Journal (peer-reviewed, Springer)</w:t>
                </w:r>
              </w:p>
            </w:tc>
          </w:tr>
          <w:tr w:rsidR="000E2BB3" w14:paraId="461A51EC" w14:textId="77777777">
            <w:trPr>
              <w:jc w:val="center"/>
            </w:trPr>
            <w:tc>
              <w:tcPr>
                <w:tcW w:w="5112" w:type="dxa"/>
                <w:shd w:val="clear" w:color="auto" w:fill="FFF2CB"/>
                <w:vAlign w:val="center"/>
              </w:tcPr>
              <w:p w14:paraId="73AEAB2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EEA1AF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Partial</w:t>
                </w:r>
              </w:p>
            </w:tc>
          </w:tr>
          <w:tr w:rsidR="000E2BB3" w14:paraId="540414AA" w14:textId="77777777">
            <w:trPr>
              <w:jc w:val="center"/>
            </w:trPr>
            <w:tc>
              <w:tcPr>
                <w:tcW w:w="5112" w:type="dxa"/>
                <w:shd w:val="clear" w:color="auto" w:fill="FFF2CB"/>
                <w:vAlign w:val="center"/>
              </w:tcPr>
              <w:p w14:paraId="7AC5A7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BC3078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High: peer-reviewed journal with a DOI</w:t>
                </w:r>
              </w:p>
            </w:tc>
          </w:tr>
          <w:tr w:rsidR="000E2BB3" w14:paraId="0694D247" w14:textId="77777777">
            <w:trPr>
              <w:jc w:val="center"/>
            </w:trPr>
            <w:tc>
              <w:tcPr>
                <w:tcW w:w="5112" w:type="dxa"/>
                <w:shd w:val="clear" w:color="auto" w:fill="FFF2CB"/>
                <w:vAlign w:val="center"/>
              </w:tcPr>
              <w:p w14:paraId="3B99A31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011667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Conceptual framework with no implementation or evaluation; OpenMetadata/PII detail unconfirmed</w:t>
                </w:r>
              </w:p>
            </w:tc>
          </w:tr>
          <w:tr w:rsidR="000E2BB3" w14:paraId="4D302D31" w14:textId="77777777">
            <w:trPr>
              <w:jc w:val="center"/>
            </w:trPr>
            <w:tc>
              <w:tcPr>
                <w:tcW w:w="5112" w:type="dxa"/>
                <w:shd w:val="clear" w:color="auto" w:fill="FFF2CB"/>
                <w:vAlign w:val="center"/>
              </w:tcPr>
              <w:p w14:paraId="1653A8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2785911" w14:textId="77777777" w:rsidR="000E2BB3" w:rsidRDefault="000E2BB3">
                <w:pPr>
                  <w:spacing w:before="80" w:after="80"/>
                  <w:rPr>
                    <w:rFonts w:ascii="Times New Roman" w:eastAsia="Times New Roman" w:hAnsi="Times New Roman" w:cs="Times New Roman"/>
                  </w:rPr>
                </w:pPr>
              </w:p>
              <w:p w14:paraId="7DFDA655"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Include</w:t>
                </w:r>
              </w:p>
              <w:p w14:paraId="06E2FDD3" w14:textId="77777777" w:rsidR="000E2BB3" w:rsidRDefault="000E2BB3">
                <w:pPr>
                  <w:spacing w:before="80" w:after="80"/>
                  <w:rPr>
                    <w:rFonts w:ascii="Times New Roman" w:eastAsia="Times New Roman" w:hAnsi="Times New Roman" w:cs="Times New Roman"/>
                  </w:rPr>
                </w:pPr>
              </w:p>
            </w:tc>
          </w:tr>
        </w:tbl>
        <w:p w14:paraId="4C428AB7" w14:textId="77777777" w:rsidR="000E2BB3" w:rsidRDefault="000E2BB3">
          <w:pPr>
            <w:rPr>
              <w:rFonts w:ascii="Times New Roman" w:eastAsia="Times New Roman" w:hAnsi="Times New Roman" w:cs="Times New Roman"/>
            </w:rPr>
          </w:pPr>
        </w:p>
        <w:p w14:paraId="2FD0671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59051F5" w14:textId="77777777">
            <w:trPr>
              <w:jc w:val="center"/>
            </w:trPr>
            <w:tc>
              <w:tcPr>
                <w:tcW w:w="5112" w:type="dxa"/>
                <w:shd w:val="clear" w:color="auto" w:fill="FFF2CB"/>
                <w:vAlign w:val="center"/>
              </w:tcPr>
              <w:p w14:paraId="6910E58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84261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governance: A conceptual framework, structured review, and research agenda; R. Abraham, J. Schneider, J. vom Brocke; 2019</w:t>
                </w:r>
              </w:p>
            </w:tc>
          </w:tr>
          <w:tr w:rsidR="000E2BB3" w14:paraId="053DD5C9" w14:textId="77777777">
            <w:trPr>
              <w:jc w:val="center"/>
            </w:trPr>
            <w:tc>
              <w:tcPr>
                <w:tcW w:w="5112" w:type="dxa"/>
                <w:shd w:val="clear" w:color="auto" w:fill="FFF2CB"/>
                <w:vAlign w:val="center"/>
              </w:tcPr>
              <w:p w14:paraId="7CA501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140926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21B2D1D" w14:textId="77777777">
            <w:trPr>
              <w:jc w:val="center"/>
            </w:trPr>
            <w:tc>
              <w:tcPr>
                <w:tcW w:w="5112" w:type="dxa"/>
                <w:shd w:val="clear" w:color="auto" w:fill="FFF2CB"/>
                <w:vAlign w:val="center"/>
              </w:tcPr>
              <w:p w14:paraId="303F3B5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4D533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62F36DC2" w14:textId="77777777">
            <w:trPr>
              <w:jc w:val="center"/>
            </w:trPr>
            <w:tc>
              <w:tcPr>
                <w:tcW w:w="5112" w:type="dxa"/>
                <w:shd w:val="clear" w:color="auto" w:fill="FFF2CB"/>
                <w:vAlign w:val="center"/>
              </w:tcPr>
              <w:p w14:paraId="679E5A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40FDC8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 J. Inf. Manage. (Elsevier), peer-reviewed; review of 145 sources</w:t>
                </w:r>
              </w:p>
            </w:tc>
          </w:tr>
          <w:tr w:rsidR="000E2BB3" w14:paraId="5402BE51" w14:textId="77777777">
            <w:trPr>
              <w:jc w:val="center"/>
            </w:trPr>
            <w:tc>
              <w:tcPr>
                <w:tcW w:w="5112" w:type="dxa"/>
                <w:shd w:val="clear" w:color="auto" w:fill="FFF2CB"/>
                <w:vAlign w:val="center"/>
              </w:tcPr>
              <w:p w14:paraId="2FC688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E6281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Pre-dates AI catalogues; not finance-specific</w:t>
                </w:r>
              </w:p>
            </w:tc>
          </w:tr>
          <w:tr w:rsidR="000E2BB3" w14:paraId="3D8F3554" w14:textId="77777777">
            <w:trPr>
              <w:jc w:val="center"/>
            </w:trPr>
            <w:tc>
              <w:tcPr>
                <w:tcW w:w="5112" w:type="dxa"/>
                <w:shd w:val="clear" w:color="auto" w:fill="FFF2CB"/>
                <w:vAlign w:val="center"/>
              </w:tcPr>
              <w:p w14:paraId="084C05F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78D94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9FDB33B" w14:textId="77777777" w:rsidR="000E2BB3" w:rsidRDefault="000E2BB3">
          <w:pPr>
            <w:rPr>
              <w:rFonts w:ascii="Times New Roman" w:eastAsia="Times New Roman" w:hAnsi="Times New Roman" w:cs="Times New Roman"/>
            </w:rPr>
          </w:pPr>
        </w:p>
        <w:p w14:paraId="54D19E7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162BF38" w14:textId="77777777">
            <w:trPr>
              <w:jc w:val="center"/>
            </w:trPr>
            <w:tc>
              <w:tcPr>
                <w:tcW w:w="5112" w:type="dxa"/>
                <w:shd w:val="clear" w:color="auto" w:fill="FFF2CB"/>
                <w:vAlign w:val="center"/>
              </w:tcPr>
              <w:p w14:paraId="08BA53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F259F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Designing data governance; V. Khatri, C. V. Brown; 2010</w:t>
                </w:r>
              </w:p>
            </w:tc>
          </w:tr>
          <w:tr w:rsidR="000E2BB3" w14:paraId="7A82B1F2" w14:textId="77777777">
            <w:trPr>
              <w:jc w:val="center"/>
            </w:trPr>
            <w:tc>
              <w:tcPr>
                <w:tcW w:w="5112" w:type="dxa"/>
                <w:shd w:val="clear" w:color="auto" w:fill="FFF2CB"/>
                <w:vAlign w:val="center"/>
              </w:tcPr>
              <w:p w14:paraId="144E82E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3010DF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24161B52" w14:textId="77777777">
            <w:trPr>
              <w:jc w:val="center"/>
            </w:trPr>
            <w:tc>
              <w:tcPr>
                <w:tcW w:w="5112" w:type="dxa"/>
                <w:shd w:val="clear" w:color="auto" w:fill="FFF2CB"/>
                <w:vAlign w:val="center"/>
              </w:tcPr>
              <w:p w14:paraId="02F1879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6EBEE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03E2AFE2" w14:textId="77777777">
            <w:trPr>
              <w:jc w:val="center"/>
            </w:trPr>
            <w:tc>
              <w:tcPr>
                <w:tcW w:w="5112" w:type="dxa"/>
                <w:shd w:val="clear" w:color="auto" w:fill="FFF2CB"/>
                <w:vAlign w:val="center"/>
              </w:tcPr>
              <w:p w14:paraId="7F22CE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5561E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Commun. ACM, highly cited</w:t>
                </w:r>
              </w:p>
            </w:tc>
          </w:tr>
          <w:tr w:rsidR="000E2BB3" w14:paraId="541678CB" w14:textId="77777777">
            <w:trPr>
              <w:jc w:val="center"/>
            </w:trPr>
            <w:tc>
              <w:tcPr>
                <w:tcW w:w="5112" w:type="dxa"/>
                <w:shd w:val="clear" w:color="auto" w:fill="FFF2CB"/>
                <w:vAlign w:val="center"/>
              </w:tcPr>
              <w:p w14:paraId="2A8222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D6057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16 years old</w:t>
                </w:r>
              </w:p>
            </w:tc>
          </w:tr>
          <w:tr w:rsidR="000E2BB3" w14:paraId="1DB79F47" w14:textId="77777777">
            <w:trPr>
              <w:jc w:val="center"/>
            </w:trPr>
            <w:tc>
              <w:tcPr>
                <w:tcW w:w="5112" w:type="dxa"/>
                <w:shd w:val="clear" w:color="auto" w:fill="FFF2CB"/>
                <w:vAlign w:val="center"/>
              </w:tcPr>
              <w:p w14:paraId="7D24EB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C6F1C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8663552" w14:textId="77777777" w:rsidR="000E2BB3" w:rsidRDefault="000E2BB3">
          <w:pPr>
            <w:rPr>
              <w:rFonts w:ascii="Times New Roman" w:eastAsia="Times New Roman" w:hAnsi="Times New Roman" w:cs="Times New Roman"/>
            </w:rPr>
          </w:pPr>
        </w:p>
        <w:p w14:paraId="74184C0C"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C31383C" w14:textId="77777777">
            <w:trPr>
              <w:jc w:val="center"/>
            </w:trPr>
            <w:tc>
              <w:tcPr>
                <w:tcW w:w="5112" w:type="dxa"/>
                <w:shd w:val="clear" w:color="auto" w:fill="FFF2CB"/>
                <w:vAlign w:val="center"/>
              </w:tcPr>
              <w:p w14:paraId="632A709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E2DC0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governance: Organizing data for trustworthy AI; M. Janssen et al.; 2020</w:t>
                </w:r>
              </w:p>
            </w:tc>
          </w:tr>
          <w:tr w:rsidR="000E2BB3" w14:paraId="3509592E" w14:textId="77777777">
            <w:trPr>
              <w:jc w:val="center"/>
            </w:trPr>
            <w:tc>
              <w:tcPr>
                <w:tcW w:w="5112" w:type="dxa"/>
                <w:shd w:val="clear" w:color="auto" w:fill="FFF2CB"/>
                <w:vAlign w:val="center"/>
              </w:tcPr>
              <w:p w14:paraId="37474C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53FA0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1374EABA" w14:textId="77777777">
            <w:trPr>
              <w:jc w:val="center"/>
            </w:trPr>
            <w:tc>
              <w:tcPr>
                <w:tcW w:w="5112" w:type="dxa"/>
                <w:shd w:val="clear" w:color="auto" w:fill="FFF2CB"/>
                <w:vAlign w:val="center"/>
              </w:tcPr>
              <w:p w14:paraId="42AEF8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D88C8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03A10A0A" w14:textId="77777777">
            <w:trPr>
              <w:jc w:val="center"/>
            </w:trPr>
            <w:tc>
              <w:tcPr>
                <w:tcW w:w="5112" w:type="dxa"/>
                <w:shd w:val="clear" w:color="auto" w:fill="FFF2CB"/>
                <w:vAlign w:val="center"/>
              </w:tcPr>
              <w:p w14:paraId="075D9C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D53D1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Gov. Inf. Q. (Elsevier), peer-reviewed</w:t>
                </w:r>
              </w:p>
            </w:tc>
          </w:tr>
          <w:tr w:rsidR="000E2BB3" w14:paraId="63C0AC7A" w14:textId="77777777">
            <w:trPr>
              <w:jc w:val="center"/>
            </w:trPr>
            <w:tc>
              <w:tcPr>
                <w:tcW w:w="5112" w:type="dxa"/>
                <w:shd w:val="clear" w:color="auto" w:fill="FFF2CB"/>
                <w:vAlign w:val="center"/>
              </w:tcPr>
              <w:p w14:paraId="540AC9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CE9788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Public-sector focus</w:t>
                </w:r>
              </w:p>
            </w:tc>
          </w:tr>
          <w:tr w:rsidR="000E2BB3" w14:paraId="1834163A" w14:textId="77777777">
            <w:trPr>
              <w:jc w:val="center"/>
            </w:trPr>
            <w:tc>
              <w:tcPr>
                <w:tcW w:w="5112" w:type="dxa"/>
                <w:shd w:val="clear" w:color="auto" w:fill="FFF2CB"/>
                <w:vAlign w:val="center"/>
              </w:tcPr>
              <w:p w14:paraId="71A5A6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AEAAE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1456073" w14:textId="77777777" w:rsidR="000E2BB3" w:rsidRDefault="000E2BB3">
          <w:pPr>
            <w:rPr>
              <w:rFonts w:ascii="Times New Roman" w:eastAsia="Times New Roman" w:hAnsi="Times New Roman" w:cs="Times New Roman"/>
            </w:rPr>
          </w:pPr>
        </w:p>
        <w:p w14:paraId="7D91EA2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28B6889" w14:textId="77777777">
            <w:trPr>
              <w:jc w:val="center"/>
            </w:trPr>
            <w:tc>
              <w:tcPr>
                <w:tcW w:w="5112" w:type="dxa"/>
                <w:shd w:val="clear" w:color="auto" w:fill="FFF2CB"/>
                <w:vAlign w:val="center"/>
              </w:tcPr>
              <w:p w14:paraId="61D0B3D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E90C2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Matters: A strategic action framework for data governance; Q. Zhang, X. Sun, M. Zhang; 2022</w:t>
                </w:r>
              </w:p>
            </w:tc>
          </w:tr>
          <w:tr w:rsidR="000E2BB3" w14:paraId="00F4646B" w14:textId="77777777">
            <w:trPr>
              <w:jc w:val="center"/>
            </w:trPr>
            <w:tc>
              <w:tcPr>
                <w:tcW w:w="5112" w:type="dxa"/>
                <w:shd w:val="clear" w:color="auto" w:fill="FFF2CB"/>
                <w:vAlign w:val="center"/>
              </w:tcPr>
              <w:p w14:paraId="2936192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B6EB3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77359678" w14:textId="77777777">
            <w:trPr>
              <w:jc w:val="center"/>
            </w:trPr>
            <w:tc>
              <w:tcPr>
                <w:tcW w:w="5112" w:type="dxa"/>
                <w:shd w:val="clear" w:color="auto" w:fill="FFF2CB"/>
                <w:vAlign w:val="center"/>
              </w:tcPr>
              <w:p w14:paraId="3ABCFF0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Relevance (Direct, partial, low)</w:t>
                </w:r>
              </w:p>
            </w:tc>
            <w:tc>
              <w:tcPr>
                <w:tcW w:w="5112" w:type="dxa"/>
                <w:vAlign w:val="center"/>
              </w:tcPr>
              <w:p w14:paraId="7F90F5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E824CCB" w14:textId="77777777">
            <w:trPr>
              <w:jc w:val="center"/>
            </w:trPr>
            <w:tc>
              <w:tcPr>
                <w:tcW w:w="5112" w:type="dxa"/>
                <w:shd w:val="clear" w:color="auto" w:fill="FFF2CB"/>
                <w:vAlign w:val="center"/>
              </w:tcPr>
              <w:p w14:paraId="5DDA82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2D849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Information &amp; Management (Elsevier), peer-reviewed</w:t>
                </w:r>
              </w:p>
            </w:tc>
          </w:tr>
          <w:tr w:rsidR="000E2BB3" w14:paraId="3D48BB02" w14:textId="77777777">
            <w:trPr>
              <w:jc w:val="center"/>
            </w:trPr>
            <w:tc>
              <w:tcPr>
                <w:tcW w:w="5112" w:type="dxa"/>
                <w:shd w:val="clear" w:color="auto" w:fill="FFF2CB"/>
                <w:vAlign w:val="center"/>
              </w:tcPr>
              <w:p w14:paraId="47C8FEC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4E416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Abstract not available in index; strategic, not operational</w:t>
                </w:r>
              </w:p>
            </w:tc>
          </w:tr>
          <w:tr w:rsidR="000E2BB3" w14:paraId="0DBCE263" w14:textId="77777777">
            <w:trPr>
              <w:jc w:val="center"/>
            </w:trPr>
            <w:tc>
              <w:tcPr>
                <w:tcW w:w="5112" w:type="dxa"/>
                <w:shd w:val="clear" w:color="auto" w:fill="FFF2CB"/>
                <w:vAlign w:val="center"/>
              </w:tcPr>
              <w:p w14:paraId="2A3B029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4DFEE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r>
        </w:tbl>
        <w:p w14:paraId="2245AC22" w14:textId="77777777" w:rsidR="000E2BB3" w:rsidRDefault="000E2BB3">
          <w:pPr>
            <w:rPr>
              <w:rFonts w:ascii="Times New Roman" w:eastAsia="Times New Roman" w:hAnsi="Times New Roman" w:cs="Times New Roman"/>
            </w:rPr>
          </w:pPr>
        </w:p>
        <w:p w14:paraId="65E968B8"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F72CBC1" w14:textId="77777777">
            <w:trPr>
              <w:jc w:val="center"/>
            </w:trPr>
            <w:tc>
              <w:tcPr>
                <w:tcW w:w="5112" w:type="dxa"/>
                <w:shd w:val="clear" w:color="auto" w:fill="FFF2CB"/>
                <w:vAlign w:val="center"/>
              </w:tcPr>
              <w:p w14:paraId="466348E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9F10C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Organizing data governance: Findings from the telecommunications industry...; B. Otto; 2011</w:t>
                </w:r>
              </w:p>
            </w:tc>
          </w:tr>
          <w:tr w:rsidR="000E2BB3" w14:paraId="7BB0CFC1" w14:textId="77777777">
            <w:trPr>
              <w:jc w:val="center"/>
            </w:trPr>
            <w:tc>
              <w:tcPr>
                <w:tcW w:w="5112" w:type="dxa"/>
                <w:shd w:val="clear" w:color="auto" w:fill="FFF2CB"/>
                <w:vAlign w:val="center"/>
              </w:tcPr>
              <w:p w14:paraId="51FF91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487E0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1AB6CBC5" w14:textId="77777777">
            <w:trPr>
              <w:jc w:val="center"/>
            </w:trPr>
            <w:tc>
              <w:tcPr>
                <w:tcW w:w="5112" w:type="dxa"/>
                <w:shd w:val="clear" w:color="auto" w:fill="FFF2CB"/>
                <w:vAlign w:val="center"/>
              </w:tcPr>
              <w:p w14:paraId="491F070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65DE21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96D98AD" w14:textId="77777777">
            <w:trPr>
              <w:jc w:val="center"/>
            </w:trPr>
            <w:tc>
              <w:tcPr>
                <w:tcW w:w="5112" w:type="dxa"/>
                <w:shd w:val="clear" w:color="auto" w:fill="FFF2CB"/>
                <w:vAlign w:val="center"/>
              </w:tcPr>
              <w:p w14:paraId="71B4086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2B2337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Commun. AIS, peer-reviewed</w:t>
                </w:r>
              </w:p>
            </w:tc>
          </w:tr>
          <w:tr w:rsidR="000E2BB3" w14:paraId="54AFA4DE" w14:textId="77777777">
            <w:trPr>
              <w:jc w:val="center"/>
            </w:trPr>
            <w:tc>
              <w:tcPr>
                <w:tcW w:w="5112" w:type="dxa"/>
                <w:shd w:val="clear" w:color="auto" w:fill="FFF2CB"/>
                <w:vAlign w:val="center"/>
              </w:tcPr>
              <w:p w14:paraId="6C86F80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0E5A31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Single-industry case study</w:t>
                </w:r>
              </w:p>
            </w:tc>
          </w:tr>
          <w:tr w:rsidR="000E2BB3" w14:paraId="1CBE0B8D" w14:textId="77777777">
            <w:trPr>
              <w:jc w:val="center"/>
            </w:trPr>
            <w:tc>
              <w:tcPr>
                <w:tcW w:w="5112" w:type="dxa"/>
                <w:shd w:val="clear" w:color="auto" w:fill="FFF2CB"/>
                <w:vAlign w:val="center"/>
              </w:tcPr>
              <w:p w14:paraId="7154B2D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95E966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41CDD0ED" w14:textId="77777777" w:rsidR="000E2BB3" w:rsidRDefault="000E2BB3">
          <w:pPr>
            <w:rPr>
              <w:rFonts w:ascii="Times New Roman" w:eastAsia="Times New Roman" w:hAnsi="Times New Roman" w:cs="Times New Roman"/>
            </w:rPr>
          </w:pPr>
        </w:p>
        <w:p w14:paraId="0FD4F07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C2C0842" w14:textId="77777777">
            <w:trPr>
              <w:jc w:val="center"/>
            </w:trPr>
            <w:tc>
              <w:tcPr>
                <w:tcW w:w="5112" w:type="dxa"/>
                <w:shd w:val="clear" w:color="auto" w:fill="FFF2CB"/>
                <w:vAlign w:val="center"/>
              </w:tcPr>
              <w:p w14:paraId="771A9D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3179E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governance as success factor for data science; P. Brous, M. Janssen, R. Krans; 2020</w:t>
                </w:r>
              </w:p>
            </w:tc>
          </w:tr>
          <w:tr w:rsidR="000E2BB3" w14:paraId="72AF1A22" w14:textId="77777777">
            <w:trPr>
              <w:jc w:val="center"/>
            </w:trPr>
            <w:tc>
              <w:tcPr>
                <w:tcW w:w="5112" w:type="dxa"/>
                <w:shd w:val="clear" w:color="auto" w:fill="FFF2CB"/>
                <w:vAlign w:val="center"/>
              </w:tcPr>
              <w:p w14:paraId="50459A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933C8E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31F5CB0E" w14:textId="77777777">
            <w:trPr>
              <w:jc w:val="center"/>
            </w:trPr>
            <w:tc>
              <w:tcPr>
                <w:tcW w:w="5112" w:type="dxa"/>
                <w:shd w:val="clear" w:color="auto" w:fill="FFF2CB"/>
                <w:vAlign w:val="center"/>
              </w:tcPr>
              <w:p w14:paraId="428A90D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8E3B0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38114DFA" w14:textId="77777777">
            <w:trPr>
              <w:jc w:val="center"/>
            </w:trPr>
            <w:tc>
              <w:tcPr>
                <w:tcW w:w="5112" w:type="dxa"/>
                <w:shd w:val="clear" w:color="auto" w:fill="FFF2CB"/>
                <w:vAlign w:val="center"/>
              </w:tcPr>
              <w:p w14:paraId="3D7B9B4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A0189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LNCS 12066 (I3E 2020), peer-reviewed</w:t>
                </w:r>
              </w:p>
            </w:tc>
          </w:tr>
          <w:tr w:rsidR="000E2BB3" w14:paraId="52FCCBAB" w14:textId="77777777">
            <w:trPr>
              <w:jc w:val="center"/>
            </w:trPr>
            <w:tc>
              <w:tcPr>
                <w:tcW w:w="5112" w:type="dxa"/>
                <w:shd w:val="clear" w:color="auto" w:fill="FFF2CB"/>
                <w:vAlign w:val="center"/>
              </w:tcPr>
              <w:p w14:paraId="0AE93FF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148DAC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 case; non-financial domain</w:t>
                </w:r>
              </w:p>
            </w:tc>
          </w:tr>
          <w:tr w:rsidR="000E2BB3" w14:paraId="47C38B88" w14:textId="77777777">
            <w:trPr>
              <w:jc w:val="center"/>
            </w:trPr>
            <w:tc>
              <w:tcPr>
                <w:tcW w:w="5112" w:type="dxa"/>
                <w:shd w:val="clear" w:color="auto" w:fill="FFF2CB"/>
                <w:vAlign w:val="center"/>
              </w:tcPr>
              <w:p w14:paraId="471E49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FFFEA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3CCB5E7" w14:textId="77777777" w:rsidR="000E2BB3" w:rsidRDefault="000E2BB3">
          <w:pPr>
            <w:rPr>
              <w:rFonts w:ascii="Times New Roman" w:eastAsia="Times New Roman" w:hAnsi="Times New Roman" w:cs="Times New Roman"/>
            </w:rPr>
          </w:pPr>
        </w:p>
        <w:p w14:paraId="4F6B1C0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856E9BB" w14:textId="77777777">
            <w:trPr>
              <w:jc w:val="center"/>
            </w:trPr>
            <w:tc>
              <w:tcPr>
                <w:tcW w:w="5112" w:type="dxa"/>
                <w:shd w:val="clear" w:color="auto" w:fill="FFF2CB"/>
                <w:vAlign w:val="center"/>
              </w:tcPr>
              <w:p w14:paraId="5B204DA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150EB1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FAIR enough? Enhancing the usage of enterprise data with data catalogs; C. Labadie et al.; 2020</w:t>
                </w:r>
              </w:p>
            </w:tc>
          </w:tr>
          <w:tr w:rsidR="000E2BB3" w14:paraId="7DE0F437" w14:textId="77777777">
            <w:trPr>
              <w:jc w:val="center"/>
            </w:trPr>
            <w:tc>
              <w:tcPr>
                <w:tcW w:w="5112" w:type="dxa"/>
                <w:shd w:val="clear" w:color="auto" w:fill="FFF2CB"/>
                <w:vAlign w:val="center"/>
              </w:tcPr>
              <w:p w14:paraId="59517CC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Category (Journal, standard, report)</w:t>
                </w:r>
              </w:p>
            </w:tc>
            <w:tc>
              <w:tcPr>
                <w:tcW w:w="5112" w:type="dxa"/>
                <w:vAlign w:val="center"/>
              </w:tcPr>
              <w:p w14:paraId="262BEAF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68457C6E" w14:textId="77777777">
            <w:trPr>
              <w:jc w:val="center"/>
            </w:trPr>
            <w:tc>
              <w:tcPr>
                <w:tcW w:w="5112" w:type="dxa"/>
                <w:shd w:val="clear" w:color="auto" w:fill="FFF2CB"/>
                <w:vAlign w:val="center"/>
              </w:tcPr>
              <w:p w14:paraId="3A05EB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038A60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C69AFB9" w14:textId="77777777">
            <w:trPr>
              <w:jc w:val="center"/>
            </w:trPr>
            <w:tc>
              <w:tcPr>
                <w:tcW w:w="5112" w:type="dxa"/>
                <w:shd w:val="clear" w:color="auto" w:fill="FFF2CB"/>
                <w:vAlign w:val="center"/>
              </w:tcPr>
              <w:p w14:paraId="4CC382C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37C8E3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IEEE CBI 2020, peer-reviewed</w:t>
                </w:r>
              </w:p>
            </w:tc>
          </w:tr>
          <w:tr w:rsidR="000E2BB3" w14:paraId="60290A9F" w14:textId="77777777">
            <w:trPr>
              <w:jc w:val="center"/>
            </w:trPr>
            <w:tc>
              <w:tcPr>
                <w:tcW w:w="5112" w:type="dxa"/>
                <w:shd w:val="clear" w:color="auto" w:fill="FFF2CB"/>
                <w:vAlign w:val="center"/>
              </w:tcPr>
              <w:p w14:paraId="5D8725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4C2CC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Little coverage of privacy controls</w:t>
                </w:r>
              </w:p>
            </w:tc>
          </w:tr>
          <w:tr w:rsidR="000E2BB3" w14:paraId="42603565" w14:textId="77777777">
            <w:trPr>
              <w:jc w:val="center"/>
            </w:trPr>
            <w:tc>
              <w:tcPr>
                <w:tcW w:w="5112" w:type="dxa"/>
                <w:shd w:val="clear" w:color="auto" w:fill="FFF2CB"/>
                <w:vAlign w:val="center"/>
              </w:tcPr>
              <w:p w14:paraId="2189693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F96AC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FED3EF3" w14:textId="77777777" w:rsidR="000E2BB3" w:rsidRDefault="000E2BB3">
          <w:pPr>
            <w:rPr>
              <w:rFonts w:ascii="Times New Roman" w:eastAsia="Times New Roman" w:hAnsi="Times New Roman" w:cs="Times New Roman"/>
            </w:rPr>
          </w:pPr>
        </w:p>
        <w:p w14:paraId="4B94F99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5FBA8A2" w14:textId="77777777">
            <w:trPr>
              <w:jc w:val="center"/>
            </w:trPr>
            <w:tc>
              <w:tcPr>
                <w:tcW w:w="5112" w:type="dxa"/>
                <w:shd w:val="clear" w:color="auto" w:fill="FFF2CB"/>
                <w:vAlign w:val="center"/>
              </w:tcPr>
              <w:p w14:paraId="2D3920A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3A682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catalogs: A systematic literature review and guidelines to implementation; L. Ehrlinger et al.; 2021</w:t>
                </w:r>
              </w:p>
            </w:tc>
          </w:tr>
          <w:tr w:rsidR="000E2BB3" w14:paraId="74F34A01" w14:textId="77777777">
            <w:trPr>
              <w:jc w:val="center"/>
            </w:trPr>
            <w:tc>
              <w:tcPr>
                <w:tcW w:w="5112" w:type="dxa"/>
                <w:shd w:val="clear" w:color="auto" w:fill="FFF2CB"/>
                <w:vAlign w:val="center"/>
              </w:tcPr>
              <w:p w14:paraId="4281135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CCFA4D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48490067" w14:textId="77777777">
            <w:trPr>
              <w:jc w:val="center"/>
            </w:trPr>
            <w:tc>
              <w:tcPr>
                <w:tcW w:w="5112" w:type="dxa"/>
                <w:shd w:val="clear" w:color="auto" w:fill="FFF2CB"/>
                <w:vAlign w:val="center"/>
              </w:tcPr>
              <w:p w14:paraId="346B054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8B5FA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758B6BB" w14:textId="77777777">
            <w:trPr>
              <w:jc w:val="center"/>
            </w:trPr>
            <w:tc>
              <w:tcPr>
                <w:tcW w:w="5112" w:type="dxa"/>
                <w:shd w:val="clear" w:color="auto" w:fill="FFF2CB"/>
                <w:vAlign w:val="center"/>
              </w:tcPr>
              <w:p w14:paraId="33A14F6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E6FF00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DEXA 2021 Workshops, CCIS 1479 (Springer)</w:t>
                </w:r>
              </w:p>
            </w:tc>
          </w:tr>
          <w:tr w:rsidR="000E2BB3" w14:paraId="5916AD6F" w14:textId="77777777">
            <w:trPr>
              <w:jc w:val="center"/>
            </w:trPr>
            <w:tc>
              <w:tcPr>
                <w:tcW w:w="5112" w:type="dxa"/>
                <w:shd w:val="clear" w:color="auto" w:fill="FFF2CB"/>
                <w:vAlign w:val="center"/>
              </w:tcPr>
              <w:p w14:paraId="6166EA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43FA7D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Workshop paper; literature-based</w:t>
                </w:r>
              </w:p>
            </w:tc>
          </w:tr>
          <w:tr w:rsidR="000E2BB3" w14:paraId="3FFD225B" w14:textId="77777777">
            <w:trPr>
              <w:jc w:val="center"/>
            </w:trPr>
            <w:tc>
              <w:tcPr>
                <w:tcW w:w="5112" w:type="dxa"/>
                <w:shd w:val="clear" w:color="auto" w:fill="FFF2CB"/>
                <w:vAlign w:val="center"/>
              </w:tcPr>
              <w:p w14:paraId="56085C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9CBF1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D1BC8E2" w14:textId="77777777" w:rsidR="000E2BB3" w:rsidRDefault="000E2BB3">
          <w:pPr>
            <w:rPr>
              <w:rFonts w:ascii="Times New Roman" w:eastAsia="Times New Roman" w:hAnsi="Times New Roman" w:cs="Times New Roman"/>
            </w:rPr>
          </w:pPr>
        </w:p>
        <w:p w14:paraId="5DF67F6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E0E625C" w14:textId="77777777">
            <w:trPr>
              <w:jc w:val="center"/>
            </w:trPr>
            <w:tc>
              <w:tcPr>
                <w:tcW w:w="5112" w:type="dxa"/>
                <w:shd w:val="clear" w:color="auto" w:fill="FFF2CB"/>
                <w:vAlign w:val="center"/>
              </w:tcPr>
              <w:p w14:paraId="5482BB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67268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catalogs in the enterprise: Applications and integration; N. Jahnke, B. Otto; 2023</w:t>
                </w:r>
              </w:p>
            </w:tc>
          </w:tr>
          <w:tr w:rsidR="000E2BB3" w14:paraId="217CBA90" w14:textId="77777777">
            <w:trPr>
              <w:jc w:val="center"/>
            </w:trPr>
            <w:tc>
              <w:tcPr>
                <w:tcW w:w="5112" w:type="dxa"/>
                <w:shd w:val="clear" w:color="auto" w:fill="FFF2CB"/>
                <w:vAlign w:val="center"/>
              </w:tcPr>
              <w:p w14:paraId="68E040A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E1C5F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275A2D3" w14:textId="77777777">
            <w:trPr>
              <w:jc w:val="center"/>
            </w:trPr>
            <w:tc>
              <w:tcPr>
                <w:tcW w:w="5112" w:type="dxa"/>
                <w:shd w:val="clear" w:color="auto" w:fill="FFF2CB"/>
                <w:vAlign w:val="center"/>
              </w:tcPr>
              <w:p w14:paraId="490DDF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43223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48614F77" w14:textId="77777777">
            <w:trPr>
              <w:jc w:val="center"/>
            </w:trPr>
            <w:tc>
              <w:tcPr>
                <w:tcW w:w="5112" w:type="dxa"/>
                <w:shd w:val="clear" w:color="auto" w:fill="FFF2CB"/>
                <w:vAlign w:val="center"/>
              </w:tcPr>
              <w:p w14:paraId="75F43A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57E46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Datenbank-Spektrum (Springer), peer-reviewed</w:t>
                </w:r>
              </w:p>
            </w:tc>
          </w:tr>
          <w:tr w:rsidR="000E2BB3" w14:paraId="5AA8308F" w14:textId="77777777">
            <w:trPr>
              <w:jc w:val="center"/>
            </w:trPr>
            <w:tc>
              <w:tcPr>
                <w:tcW w:w="5112" w:type="dxa"/>
                <w:shd w:val="clear" w:color="auto" w:fill="FFF2CB"/>
                <w:vAlign w:val="center"/>
              </w:tcPr>
              <w:p w14:paraId="5832701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202A60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 offerings analysed from public material</w:t>
                </w:r>
              </w:p>
            </w:tc>
          </w:tr>
          <w:tr w:rsidR="000E2BB3" w14:paraId="20F4D72D" w14:textId="77777777">
            <w:trPr>
              <w:jc w:val="center"/>
            </w:trPr>
            <w:tc>
              <w:tcPr>
                <w:tcW w:w="5112" w:type="dxa"/>
                <w:shd w:val="clear" w:color="auto" w:fill="FFF2CB"/>
                <w:vAlign w:val="center"/>
              </w:tcPr>
              <w:p w14:paraId="015BCB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9A8EF6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BEFA459" w14:textId="77777777" w:rsidR="000E2BB3" w:rsidRDefault="000E2BB3">
          <w:pPr>
            <w:rPr>
              <w:rFonts w:ascii="Times New Roman" w:eastAsia="Times New Roman" w:hAnsi="Times New Roman" w:cs="Times New Roman"/>
            </w:rPr>
          </w:pPr>
        </w:p>
        <w:p w14:paraId="6380E3B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DB755D4" w14:textId="77777777">
            <w:trPr>
              <w:jc w:val="center"/>
            </w:trPr>
            <w:tc>
              <w:tcPr>
                <w:tcW w:w="5112" w:type="dxa"/>
                <w:shd w:val="clear" w:color="auto" w:fill="FFF2CB"/>
                <w:vAlign w:val="center"/>
              </w:tcPr>
              <w:p w14:paraId="62ACC73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196333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catalogue approaches, implementation and adoption; N. M. Ghazaly; 2022</w:t>
                </w:r>
              </w:p>
            </w:tc>
          </w:tr>
          <w:tr w:rsidR="000E2BB3" w14:paraId="66C5F191" w14:textId="77777777">
            <w:trPr>
              <w:jc w:val="center"/>
            </w:trPr>
            <w:tc>
              <w:tcPr>
                <w:tcW w:w="5112" w:type="dxa"/>
                <w:shd w:val="clear" w:color="auto" w:fill="FFF2CB"/>
                <w:vAlign w:val="center"/>
              </w:tcPr>
              <w:p w14:paraId="4D6458F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DB5E95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BD38250" w14:textId="77777777">
            <w:trPr>
              <w:jc w:val="center"/>
            </w:trPr>
            <w:tc>
              <w:tcPr>
                <w:tcW w:w="5112" w:type="dxa"/>
                <w:shd w:val="clear" w:color="auto" w:fill="FFF2CB"/>
                <w:vAlign w:val="center"/>
              </w:tcPr>
              <w:p w14:paraId="52D139A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F9D2C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9ED1414" w14:textId="77777777">
            <w:trPr>
              <w:jc w:val="center"/>
            </w:trPr>
            <w:tc>
              <w:tcPr>
                <w:tcW w:w="5112" w:type="dxa"/>
                <w:shd w:val="clear" w:color="auto" w:fill="FFF2CB"/>
                <w:vAlign w:val="center"/>
              </w:tcPr>
              <w:p w14:paraId="4C3AE4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A5BAC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 independent journal with weak indexing and review transparency</w:t>
                </w:r>
              </w:p>
            </w:tc>
          </w:tr>
          <w:tr w:rsidR="000E2BB3" w14:paraId="3F982336" w14:textId="77777777">
            <w:trPr>
              <w:jc w:val="center"/>
            </w:trPr>
            <w:tc>
              <w:tcPr>
                <w:tcW w:w="5112" w:type="dxa"/>
                <w:shd w:val="clear" w:color="auto" w:fill="FFF2CB"/>
                <w:vAlign w:val="center"/>
              </w:tcPr>
              <w:p w14:paraId="17283F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E272A8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Review process unclear; duplicates S07-S09</w:t>
                </w:r>
              </w:p>
            </w:tc>
          </w:tr>
          <w:tr w:rsidR="000E2BB3" w14:paraId="2632D6F6" w14:textId="77777777">
            <w:trPr>
              <w:jc w:val="center"/>
            </w:trPr>
            <w:tc>
              <w:tcPr>
                <w:tcW w:w="5112" w:type="dxa"/>
                <w:shd w:val="clear" w:color="auto" w:fill="FFF2CB"/>
                <w:vAlign w:val="center"/>
              </w:tcPr>
              <w:p w14:paraId="4A8BAD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B7C9A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076D5A89" w14:textId="77777777" w:rsidR="000E2BB3" w:rsidRDefault="000E2BB3">
          <w:pPr>
            <w:rPr>
              <w:rFonts w:ascii="Times New Roman" w:eastAsia="Times New Roman" w:hAnsi="Times New Roman" w:cs="Times New Roman"/>
            </w:rPr>
          </w:pPr>
        </w:p>
        <w:p w14:paraId="0936F1F8"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19: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C4DD29B" w14:textId="77777777">
            <w:trPr>
              <w:jc w:val="center"/>
            </w:trPr>
            <w:tc>
              <w:tcPr>
                <w:tcW w:w="5112" w:type="dxa"/>
                <w:shd w:val="clear" w:color="auto" w:fill="FFF2CB"/>
                <w:vAlign w:val="center"/>
              </w:tcPr>
              <w:p w14:paraId="1BED736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7F7165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catalog tools: A systematic multivocal literature review; M. Tonnarelli et al.; 2025</w:t>
                </w:r>
              </w:p>
            </w:tc>
          </w:tr>
          <w:tr w:rsidR="000E2BB3" w14:paraId="61101705" w14:textId="77777777">
            <w:trPr>
              <w:jc w:val="center"/>
            </w:trPr>
            <w:tc>
              <w:tcPr>
                <w:tcW w:w="5112" w:type="dxa"/>
                <w:shd w:val="clear" w:color="auto" w:fill="FFF2CB"/>
                <w:vAlign w:val="center"/>
              </w:tcPr>
              <w:p w14:paraId="109558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C6F33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E40294C" w14:textId="77777777">
            <w:trPr>
              <w:jc w:val="center"/>
            </w:trPr>
            <w:tc>
              <w:tcPr>
                <w:tcW w:w="5112" w:type="dxa"/>
                <w:shd w:val="clear" w:color="auto" w:fill="FFF2CB"/>
                <w:vAlign w:val="center"/>
              </w:tcPr>
              <w:p w14:paraId="414FF2E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32785A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D0CD1AF" w14:textId="77777777">
            <w:trPr>
              <w:jc w:val="center"/>
            </w:trPr>
            <w:tc>
              <w:tcPr>
                <w:tcW w:w="5112" w:type="dxa"/>
                <w:shd w:val="clear" w:color="auto" w:fill="FFF2CB"/>
                <w:vAlign w:val="center"/>
              </w:tcPr>
              <w:p w14:paraId="4E7D0E3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E974A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 Syst. Softw. (Elsevier), peer-reviewed; open-science material validated</w:t>
                </w:r>
              </w:p>
            </w:tc>
          </w:tr>
          <w:tr w:rsidR="000E2BB3" w14:paraId="2DD0BCCF" w14:textId="77777777">
            <w:trPr>
              <w:jc w:val="center"/>
            </w:trPr>
            <w:tc>
              <w:tcPr>
                <w:tcW w:w="5112" w:type="dxa"/>
                <w:shd w:val="clear" w:color="auto" w:fill="FFF2CB"/>
                <w:vAlign w:val="center"/>
              </w:tcPr>
              <w:p w14:paraId="6FD5291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F968DF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Multivocal review includes grey literature</w:t>
                </w:r>
              </w:p>
            </w:tc>
          </w:tr>
          <w:tr w:rsidR="000E2BB3" w14:paraId="181B698A" w14:textId="77777777">
            <w:trPr>
              <w:jc w:val="center"/>
            </w:trPr>
            <w:tc>
              <w:tcPr>
                <w:tcW w:w="5112" w:type="dxa"/>
                <w:shd w:val="clear" w:color="auto" w:fill="FFF2CB"/>
                <w:vAlign w:val="center"/>
              </w:tcPr>
              <w:p w14:paraId="3BE80B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013867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EAC9DD5" w14:textId="77777777" w:rsidR="000E2BB3" w:rsidRDefault="000E2BB3">
          <w:pPr>
            <w:rPr>
              <w:rFonts w:ascii="Times New Roman" w:eastAsia="Times New Roman" w:hAnsi="Times New Roman" w:cs="Times New Roman"/>
            </w:rPr>
          </w:pPr>
        </w:p>
        <w:p w14:paraId="6F2FF84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D9EA451" w14:textId="77777777">
            <w:trPr>
              <w:jc w:val="center"/>
            </w:trPr>
            <w:tc>
              <w:tcPr>
                <w:tcW w:w="5112" w:type="dxa"/>
                <w:shd w:val="clear" w:color="auto" w:fill="FFF2CB"/>
                <w:vAlign w:val="center"/>
              </w:tcPr>
              <w:p w14:paraId="1E53A3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9B2DB9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On data lake architectures and metadata management; P. Sawadogo, J. Darmont; 2021</w:t>
                </w:r>
              </w:p>
            </w:tc>
          </w:tr>
          <w:tr w:rsidR="000E2BB3" w14:paraId="613D99BB" w14:textId="77777777">
            <w:trPr>
              <w:jc w:val="center"/>
            </w:trPr>
            <w:tc>
              <w:tcPr>
                <w:tcW w:w="5112" w:type="dxa"/>
                <w:shd w:val="clear" w:color="auto" w:fill="FFF2CB"/>
                <w:vAlign w:val="center"/>
              </w:tcPr>
              <w:p w14:paraId="3A12925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583ED9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2750738A" w14:textId="77777777">
            <w:trPr>
              <w:jc w:val="center"/>
            </w:trPr>
            <w:tc>
              <w:tcPr>
                <w:tcW w:w="5112" w:type="dxa"/>
                <w:shd w:val="clear" w:color="auto" w:fill="FFF2CB"/>
                <w:vAlign w:val="center"/>
              </w:tcPr>
              <w:p w14:paraId="133F94D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93DEA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8685443" w14:textId="77777777">
            <w:trPr>
              <w:jc w:val="center"/>
            </w:trPr>
            <w:tc>
              <w:tcPr>
                <w:tcW w:w="5112" w:type="dxa"/>
                <w:shd w:val="clear" w:color="auto" w:fill="FFF2CB"/>
                <w:vAlign w:val="center"/>
              </w:tcPr>
              <w:p w14:paraId="546D4A4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FC6604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 Intell. Inf. Syst. (Springer), peer-reviewed survey</w:t>
                </w:r>
              </w:p>
            </w:tc>
          </w:tr>
          <w:tr w:rsidR="000E2BB3" w14:paraId="61A3564A" w14:textId="77777777">
            <w:trPr>
              <w:jc w:val="center"/>
            </w:trPr>
            <w:tc>
              <w:tcPr>
                <w:tcW w:w="5112" w:type="dxa"/>
                <w:shd w:val="clear" w:color="auto" w:fill="FFF2CB"/>
                <w:vAlign w:val="center"/>
              </w:tcPr>
              <w:p w14:paraId="557591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A62F6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Data-lake focus; no privacy evaluation</w:t>
                </w:r>
              </w:p>
            </w:tc>
          </w:tr>
          <w:tr w:rsidR="000E2BB3" w14:paraId="64C0D120" w14:textId="77777777">
            <w:trPr>
              <w:jc w:val="center"/>
            </w:trPr>
            <w:tc>
              <w:tcPr>
                <w:tcW w:w="5112" w:type="dxa"/>
                <w:shd w:val="clear" w:color="auto" w:fill="FFF2CB"/>
                <w:vAlign w:val="center"/>
              </w:tcPr>
              <w:p w14:paraId="52322EB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A3740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423AD36" w14:textId="77777777" w:rsidR="000E2BB3" w:rsidRDefault="000E2BB3">
          <w:pPr>
            <w:rPr>
              <w:rFonts w:ascii="Times New Roman" w:eastAsia="Times New Roman" w:hAnsi="Times New Roman" w:cs="Times New Roman"/>
            </w:rPr>
          </w:pPr>
        </w:p>
        <w:p w14:paraId="77B8E2BB"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1F91996" w14:textId="77777777">
            <w:trPr>
              <w:jc w:val="center"/>
            </w:trPr>
            <w:tc>
              <w:tcPr>
                <w:tcW w:w="5112" w:type="dxa"/>
                <w:shd w:val="clear" w:color="auto" w:fill="FFF2CB"/>
                <w:vAlign w:val="center"/>
              </w:tcPr>
              <w:p w14:paraId="0ADF12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2ACCE85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Análise de ferramentas de código aberto para gestão de metadados: OpenMetadata e Amundsen; H. A. B. da Silva et al.; 2025</w:t>
                </w:r>
              </w:p>
            </w:tc>
          </w:tr>
          <w:tr w:rsidR="000E2BB3" w14:paraId="326A0FB7" w14:textId="77777777">
            <w:trPr>
              <w:jc w:val="center"/>
            </w:trPr>
            <w:tc>
              <w:tcPr>
                <w:tcW w:w="5112" w:type="dxa"/>
                <w:shd w:val="clear" w:color="auto" w:fill="FFF2CB"/>
                <w:vAlign w:val="center"/>
              </w:tcPr>
              <w:p w14:paraId="1C573E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A0FFD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558471D6" w14:textId="77777777">
            <w:trPr>
              <w:jc w:val="center"/>
            </w:trPr>
            <w:tc>
              <w:tcPr>
                <w:tcW w:w="5112" w:type="dxa"/>
                <w:shd w:val="clear" w:color="auto" w:fill="FFF2CB"/>
                <w:vAlign w:val="center"/>
              </w:tcPr>
              <w:p w14:paraId="29E9BF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754A68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D52DDB7" w14:textId="77777777">
            <w:trPr>
              <w:jc w:val="center"/>
            </w:trPr>
            <w:tc>
              <w:tcPr>
                <w:tcW w:w="5112" w:type="dxa"/>
                <w:shd w:val="clear" w:color="auto" w:fill="FFF2CB"/>
                <w:vAlign w:val="center"/>
              </w:tcPr>
              <w:p w14:paraId="551009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35560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ERBD 2025 (SBC), peer-reviewed regional venue</w:t>
                </w:r>
              </w:p>
            </w:tc>
          </w:tr>
          <w:tr w:rsidR="000E2BB3" w14:paraId="2DD89F6E" w14:textId="77777777">
            <w:trPr>
              <w:jc w:val="center"/>
            </w:trPr>
            <w:tc>
              <w:tcPr>
                <w:tcW w:w="5112" w:type="dxa"/>
                <w:shd w:val="clear" w:color="auto" w:fill="FFF2CB"/>
                <w:vAlign w:val="center"/>
              </w:tcPr>
              <w:p w14:paraId="4F108D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903B23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Portuguese; single government project; regional venue</w:t>
                </w:r>
              </w:p>
            </w:tc>
          </w:tr>
          <w:tr w:rsidR="000E2BB3" w14:paraId="411747A2" w14:textId="77777777">
            <w:trPr>
              <w:jc w:val="center"/>
            </w:trPr>
            <w:tc>
              <w:tcPr>
                <w:tcW w:w="5112" w:type="dxa"/>
                <w:shd w:val="clear" w:color="auto" w:fill="FFF2CB"/>
                <w:vAlign w:val="center"/>
              </w:tcPr>
              <w:p w14:paraId="6A69025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98AE8F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523E2C6" w14:textId="77777777" w:rsidR="000E2BB3" w:rsidRDefault="000E2BB3">
          <w:pPr>
            <w:rPr>
              <w:rFonts w:ascii="Times New Roman" w:eastAsia="Times New Roman" w:hAnsi="Times New Roman" w:cs="Times New Roman"/>
            </w:rPr>
          </w:pPr>
        </w:p>
        <w:p w14:paraId="3CBFA65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857D44B" w14:textId="77777777">
            <w:trPr>
              <w:jc w:val="center"/>
            </w:trPr>
            <w:tc>
              <w:tcPr>
                <w:tcW w:w="5112" w:type="dxa"/>
                <w:shd w:val="clear" w:color="auto" w:fill="FFF2CB"/>
                <w:vAlign w:val="center"/>
              </w:tcPr>
              <w:p w14:paraId="1F5E0ED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766CD5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 survey on provenance: What for? What form? What from?; M. Herschel, R. Diestelkämper, H. Ben Lahmar; 2017</w:t>
                </w:r>
              </w:p>
            </w:tc>
          </w:tr>
          <w:tr w:rsidR="000E2BB3" w14:paraId="18D4C014" w14:textId="77777777">
            <w:trPr>
              <w:jc w:val="center"/>
            </w:trPr>
            <w:tc>
              <w:tcPr>
                <w:tcW w:w="5112" w:type="dxa"/>
                <w:shd w:val="clear" w:color="auto" w:fill="FFF2CB"/>
                <w:vAlign w:val="center"/>
              </w:tcPr>
              <w:p w14:paraId="6C780A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4248A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05199B5" w14:textId="77777777">
            <w:trPr>
              <w:jc w:val="center"/>
            </w:trPr>
            <w:tc>
              <w:tcPr>
                <w:tcW w:w="5112" w:type="dxa"/>
                <w:shd w:val="clear" w:color="auto" w:fill="FFF2CB"/>
                <w:vAlign w:val="center"/>
              </w:tcPr>
              <w:p w14:paraId="34D984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7C875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E57C1BD" w14:textId="77777777">
            <w:trPr>
              <w:jc w:val="center"/>
            </w:trPr>
            <w:tc>
              <w:tcPr>
                <w:tcW w:w="5112" w:type="dxa"/>
                <w:shd w:val="clear" w:color="auto" w:fill="FFF2CB"/>
                <w:vAlign w:val="center"/>
              </w:tcPr>
              <w:p w14:paraId="55826A2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7302DC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VLDB J. (Springer), top database venue</w:t>
                </w:r>
              </w:p>
            </w:tc>
          </w:tr>
          <w:tr w:rsidR="000E2BB3" w14:paraId="725ABA1F" w14:textId="77777777">
            <w:trPr>
              <w:jc w:val="center"/>
            </w:trPr>
            <w:tc>
              <w:tcPr>
                <w:tcW w:w="5112" w:type="dxa"/>
                <w:shd w:val="clear" w:color="auto" w:fill="FFF2CB"/>
                <w:vAlign w:val="center"/>
              </w:tcPr>
              <w:p w14:paraId="67B069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5C06E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taxonomy; not privacy-specific</w:t>
                </w:r>
              </w:p>
            </w:tc>
          </w:tr>
          <w:tr w:rsidR="000E2BB3" w14:paraId="67856DCC" w14:textId="77777777">
            <w:trPr>
              <w:jc w:val="center"/>
            </w:trPr>
            <w:tc>
              <w:tcPr>
                <w:tcW w:w="5112" w:type="dxa"/>
                <w:shd w:val="clear" w:color="auto" w:fill="FFF2CB"/>
                <w:vAlign w:val="center"/>
              </w:tcPr>
              <w:p w14:paraId="1DA330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896AD5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4D220FA" w14:textId="77777777" w:rsidR="000E2BB3" w:rsidRDefault="000E2BB3">
          <w:pPr>
            <w:rPr>
              <w:rFonts w:ascii="Times New Roman" w:eastAsia="Times New Roman" w:hAnsi="Times New Roman" w:cs="Times New Roman"/>
            </w:rPr>
          </w:pPr>
        </w:p>
        <w:p w14:paraId="0C47BF9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EA2C217" w14:textId="77777777">
            <w:trPr>
              <w:jc w:val="center"/>
            </w:trPr>
            <w:tc>
              <w:tcPr>
                <w:tcW w:w="5112" w:type="dxa"/>
                <w:shd w:val="clear" w:color="auto" w:fill="FFF2CB"/>
                <w:vAlign w:val="center"/>
              </w:tcPr>
              <w:p w14:paraId="378D89C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BEB58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lineage: A survey; R. Ikeda, J. Widom; 2009</w:t>
                </w:r>
              </w:p>
            </w:tc>
          </w:tr>
          <w:tr w:rsidR="000E2BB3" w14:paraId="1C183395" w14:textId="77777777">
            <w:trPr>
              <w:jc w:val="center"/>
            </w:trPr>
            <w:tc>
              <w:tcPr>
                <w:tcW w:w="5112" w:type="dxa"/>
                <w:shd w:val="clear" w:color="auto" w:fill="FFF2CB"/>
                <w:vAlign w:val="center"/>
              </w:tcPr>
              <w:p w14:paraId="64FCBCF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EEAAD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w:t>
                </w:r>
              </w:p>
            </w:tc>
          </w:tr>
          <w:tr w:rsidR="000E2BB3" w14:paraId="1BC603CE" w14:textId="77777777">
            <w:trPr>
              <w:jc w:val="center"/>
            </w:trPr>
            <w:tc>
              <w:tcPr>
                <w:tcW w:w="5112" w:type="dxa"/>
                <w:shd w:val="clear" w:color="auto" w:fill="FFF2CB"/>
                <w:vAlign w:val="center"/>
              </w:tcPr>
              <w:p w14:paraId="677FA1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668C12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8FD30BC" w14:textId="77777777">
            <w:trPr>
              <w:jc w:val="center"/>
            </w:trPr>
            <w:tc>
              <w:tcPr>
                <w:tcW w:w="5112" w:type="dxa"/>
                <w:shd w:val="clear" w:color="auto" w:fill="FFF2CB"/>
                <w:vAlign w:val="center"/>
              </w:tcPr>
              <w:p w14:paraId="168CB02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E4DC7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Credible authors (Stanford) but unrefereed</w:t>
                </w:r>
              </w:p>
            </w:tc>
          </w:tr>
          <w:tr w:rsidR="000E2BB3" w14:paraId="2AA81C6D" w14:textId="77777777">
            <w:trPr>
              <w:jc w:val="center"/>
            </w:trPr>
            <w:tc>
              <w:tcPr>
                <w:tcW w:w="5112" w:type="dxa"/>
                <w:shd w:val="clear" w:color="auto" w:fill="FFF2CB"/>
                <w:vAlign w:val="center"/>
              </w:tcPr>
              <w:p w14:paraId="24438C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E7647A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Superseded by S14</w:t>
                </w:r>
              </w:p>
            </w:tc>
          </w:tr>
          <w:tr w:rsidR="000E2BB3" w14:paraId="07D346B6" w14:textId="77777777">
            <w:trPr>
              <w:jc w:val="center"/>
            </w:trPr>
            <w:tc>
              <w:tcPr>
                <w:tcW w:w="5112" w:type="dxa"/>
                <w:shd w:val="clear" w:color="auto" w:fill="FFF2CB"/>
                <w:vAlign w:val="center"/>
              </w:tcPr>
              <w:p w14:paraId="0E5749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598892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4F4C72E8" w14:textId="77777777" w:rsidR="000E2BB3" w:rsidRDefault="000E2BB3">
          <w:pPr>
            <w:rPr>
              <w:rFonts w:ascii="Times New Roman" w:eastAsia="Times New Roman" w:hAnsi="Times New Roman" w:cs="Times New Roman"/>
            </w:rPr>
          </w:pPr>
        </w:p>
        <w:p w14:paraId="42E1105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3421284" w14:textId="77777777">
            <w:trPr>
              <w:jc w:val="center"/>
            </w:trPr>
            <w:tc>
              <w:tcPr>
                <w:tcW w:w="5112" w:type="dxa"/>
                <w:shd w:val="clear" w:color="auto" w:fill="FFF2CB"/>
                <w:vAlign w:val="center"/>
              </w:tcPr>
              <w:p w14:paraId="4F3D90B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7E550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Beyond accuracy: What data quality means to data consumers; R. Y. Wang, D. M. Strong; 1996</w:t>
                </w:r>
              </w:p>
            </w:tc>
          </w:tr>
          <w:tr w:rsidR="000E2BB3" w14:paraId="596BAB44" w14:textId="77777777">
            <w:trPr>
              <w:jc w:val="center"/>
            </w:trPr>
            <w:tc>
              <w:tcPr>
                <w:tcW w:w="5112" w:type="dxa"/>
                <w:shd w:val="clear" w:color="auto" w:fill="FFF2CB"/>
                <w:vAlign w:val="center"/>
              </w:tcPr>
              <w:p w14:paraId="18CCF39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09A9FD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275CBE5C" w14:textId="77777777">
            <w:trPr>
              <w:jc w:val="center"/>
            </w:trPr>
            <w:tc>
              <w:tcPr>
                <w:tcW w:w="5112" w:type="dxa"/>
                <w:shd w:val="clear" w:color="auto" w:fill="FFF2CB"/>
                <w:vAlign w:val="center"/>
              </w:tcPr>
              <w:p w14:paraId="12962E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68DC2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C52CA24" w14:textId="77777777">
            <w:trPr>
              <w:jc w:val="center"/>
            </w:trPr>
            <w:tc>
              <w:tcPr>
                <w:tcW w:w="5112" w:type="dxa"/>
                <w:shd w:val="clear" w:color="auto" w:fill="FFF2CB"/>
                <w:vAlign w:val="center"/>
              </w:tcPr>
              <w:p w14:paraId="2BFF91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67E0A0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 Manage. Inf. Syst., about 4,600 citations</w:t>
                </w:r>
              </w:p>
            </w:tc>
          </w:tr>
          <w:tr w:rsidR="000E2BB3" w14:paraId="414202B1" w14:textId="77777777">
            <w:trPr>
              <w:jc w:val="center"/>
            </w:trPr>
            <w:tc>
              <w:tcPr>
                <w:tcW w:w="5112" w:type="dxa"/>
                <w:shd w:val="clear" w:color="auto" w:fill="FFF2CB"/>
                <w:vAlign w:val="center"/>
              </w:tcPr>
              <w:p w14:paraId="7F2191A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5DCC3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Old; pre-dates privacy regulation</w:t>
                </w:r>
              </w:p>
            </w:tc>
          </w:tr>
          <w:tr w:rsidR="000E2BB3" w14:paraId="1AE731A7" w14:textId="77777777">
            <w:trPr>
              <w:jc w:val="center"/>
            </w:trPr>
            <w:tc>
              <w:tcPr>
                <w:tcW w:w="5112" w:type="dxa"/>
                <w:shd w:val="clear" w:color="auto" w:fill="FFF2CB"/>
                <w:vAlign w:val="center"/>
              </w:tcPr>
              <w:p w14:paraId="1C6E0ED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53B9C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2688FB0" w14:textId="77777777" w:rsidR="000E2BB3" w:rsidRDefault="000E2BB3">
          <w:pPr>
            <w:rPr>
              <w:rFonts w:ascii="Times New Roman" w:eastAsia="Times New Roman" w:hAnsi="Times New Roman" w:cs="Times New Roman"/>
            </w:rPr>
          </w:pPr>
        </w:p>
        <w:p w14:paraId="705D195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8CD4ED7" w14:textId="77777777">
            <w:trPr>
              <w:jc w:val="center"/>
            </w:trPr>
            <w:tc>
              <w:tcPr>
                <w:tcW w:w="5112" w:type="dxa"/>
                <w:shd w:val="clear" w:color="auto" w:fill="FFF2CB"/>
                <w:vAlign w:val="center"/>
              </w:tcPr>
              <w:p w14:paraId="3EA321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3477E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Sensitive data detection with high-throughput neural network models for financial institutions; A. Truong, A. Walters, J. Goodsitt; 2020</w:t>
                </w:r>
              </w:p>
            </w:tc>
          </w:tr>
          <w:tr w:rsidR="000E2BB3" w14:paraId="3153870C" w14:textId="77777777">
            <w:trPr>
              <w:jc w:val="center"/>
            </w:trPr>
            <w:tc>
              <w:tcPr>
                <w:tcW w:w="5112" w:type="dxa"/>
                <w:shd w:val="clear" w:color="auto" w:fill="FFF2CB"/>
                <w:vAlign w:val="center"/>
              </w:tcPr>
              <w:p w14:paraId="375673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0A992C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Preprint</w:t>
                </w:r>
              </w:p>
            </w:tc>
          </w:tr>
          <w:tr w:rsidR="000E2BB3" w14:paraId="32B027B6" w14:textId="77777777">
            <w:trPr>
              <w:jc w:val="center"/>
            </w:trPr>
            <w:tc>
              <w:tcPr>
                <w:tcW w:w="5112" w:type="dxa"/>
                <w:shd w:val="clear" w:color="auto" w:fill="FFF2CB"/>
                <w:vAlign w:val="center"/>
              </w:tcPr>
              <w:p w14:paraId="6C70928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5B318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F66E0B0" w14:textId="77777777">
            <w:trPr>
              <w:jc w:val="center"/>
            </w:trPr>
            <w:tc>
              <w:tcPr>
                <w:tcW w:w="5112" w:type="dxa"/>
                <w:shd w:val="clear" w:color="auto" w:fill="FFF2CB"/>
                <w:vAlign w:val="center"/>
              </w:tcPr>
              <w:p w14:paraId="2AF0468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ECED2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Industry research (Capital One); arXiv, not peer-reviewed</w:t>
                </w:r>
              </w:p>
            </w:tc>
          </w:tr>
          <w:tr w:rsidR="000E2BB3" w14:paraId="0CD1DA58" w14:textId="77777777">
            <w:trPr>
              <w:jc w:val="center"/>
            </w:trPr>
            <w:tc>
              <w:tcPr>
                <w:tcW w:w="5112" w:type="dxa"/>
                <w:shd w:val="clear" w:color="auto" w:fill="FFF2CB"/>
                <w:vAlign w:val="center"/>
              </w:tcPr>
              <w:p w14:paraId="68C69E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6B870F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Vendor-affiliated; internal data not public</w:t>
                </w:r>
              </w:p>
            </w:tc>
          </w:tr>
          <w:tr w:rsidR="000E2BB3" w14:paraId="4B2CAA6F" w14:textId="77777777">
            <w:trPr>
              <w:jc w:val="center"/>
            </w:trPr>
            <w:tc>
              <w:tcPr>
                <w:tcW w:w="5112" w:type="dxa"/>
                <w:shd w:val="clear" w:color="auto" w:fill="FFF2CB"/>
                <w:vAlign w:val="center"/>
              </w:tcPr>
              <w:p w14:paraId="69B221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1AB140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B934642" w14:textId="77777777" w:rsidR="000E2BB3" w:rsidRDefault="000E2BB3">
          <w:pPr>
            <w:rPr>
              <w:rFonts w:ascii="Times New Roman" w:eastAsia="Times New Roman" w:hAnsi="Times New Roman" w:cs="Times New Roman"/>
            </w:rPr>
          </w:pPr>
        </w:p>
        <w:p w14:paraId="2BFB14F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7A7D0D6" w14:textId="77777777">
            <w:trPr>
              <w:jc w:val="center"/>
            </w:trPr>
            <w:tc>
              <w:tcPr>
                <w:tcW w:w="5112" w:type="dxa"/>
                <w:shd w:val="clear" w:color="auto" w:fill="FFF2CB"/>
                <w:vAlign w:val="center"/>
              </w:tcPr>
              <w:p w14:paraId="5A600A0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16E185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The PII problem: Privacy and a new concept of personally identifiable information; P. M. Schwartz, D. J. Solove; 2011</w:t>
                </w:r>
              </w:p>
            </w:tc>
          </w:tr>
          <w:tr w:rsidR="000E2BB3" w14:paraId="36D0308C" w14:textId="77777777">
            <w:trPr>
              <w:jc w:val="center"/>
            </w:trPr>
            <w:tc>
              <w:tcPr>
                <w:tcW w:w="5112" w:type="dxa"/>
                <w:shd w:val="clear" w:color="auto" w:fill="FFF2CB"/>
                <w:vAlign w:val="center"/>
              </w:tcPr>
              <w:p w14:paraId="2C0393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0494B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 (law review)</w:t>
                </w:r>
              </w:p>
            </w:tc>
          </w:tr>
          <w:tr w:rsidR="000E2BB3" w14:paraId="58A334BA" w14:textId="77777777">
            <w:trPr>
              <w:jc w:val="center"/>
            </w:trPr>
            <w:tc>
              <w:tcPr>
                <w:tcW w:w="5112" w:type="dxa"/>
                <w:shd w:val="clear" w:color="auto" w:fill="FFF2CB"/>
                <w:vAlign w:val="center"/>
              </w:tcPr>
              <w:p w14:paraId="6BE33F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7F4E2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4B8425D4" w14:textId="77777777">
            <w:trPr>
              <w:jc w:val="center"/>
            </w:trPr>
            <w:tc>
              <w:tcPr>
                <w:tcW w:w="5112" w:type="dxa"/>
                <w:shd w:val="clear" w:color="auto" w:fill="FFF2CB"/>
                <w:vAlign w:val="center"/>
              </w:tcPr>
              <w:p w14:paraId="082A9B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5A379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NYU Law Review; leading privacy scholars</w:t>
                </w:r>
              </w:p>
            </w:tc>
          </w:tr>
          <w:tr w:rsidR="000E2BB3" w14:paraId="5D96C85D" w14:textId="77777777">
            <w:trPr>
              <w:jc w:val="center"/>
            </w:trPr>
            <w:tc>
              <w:tcPr>
                <w:tcW w:w="5112" w:type="dxa"/>
                <w:shd w:val="clear" w:color="auto" w:fill="FFF2CB"/>
                <w:vAlign w:val="center"/>
              </w:tcPr>
              <w:p w14:paraId="27AC21F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Bias / Limitations (Identified concerns)</w:t>
                </w:r>
              </w:p>
            </w:tc>
            <w:tc>
              <w:tcPr>
                <w:tcW w:w="5112" w:type="dxa"/>
                <w:vAlign w:val="center"/>
              </w:tcPr>
              <w:p w14:paraId="11A0B6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U.S. legal framing; needs full-text read</w:t>
                </w:r>
              </w:p>
            </w:tc>
          </w:tr>
          <w:tr w:rsidR="000E2BB3" w14:paraId="45D0B62F" w14:textId="77777777">
            <w:trPr>
              <w:jc w:val="center"/>
            </w:trPr>
            <w:tc>
              <w:tcPr>
                <w:tcW w:w="5112" w:type="dxa"/>
                <w:shd w:val="clear" w:color="auto" w:fill="FFF2CB"/>
                <w:vAlign w:val="center"/>
              </w:tcPr>
              <w:p w14:paraId="7C9173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319F4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r>
        </w:tbl>
        <w:p w14:paraId="72EA09F4" w14:textId="77777777" w:rsidR="000E2BB3" w:rsidRDefault="000E2BB3">
          <w:pPr>
            <w:rPr>
              <w:rFonts w:ascii="Times New Roman" w:eastAsia="Times New Roman" w:hAnsi="Times New Roman" w:cs="Times New Roman"/>
            </w:rPr>
          </w:pPr>
        </w:p>
        <w:p w14:paraId="178CD08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9DBEA6C" w14:textId="77777777">
            <w:trPr>
              <w:jc w:val="center"/>
            </w:trPr>
            <w:tc>
              <w:tcPr>
                <w:tcW w:w="5112" w:type="dxa"/>
                <w:shd w:val="clear" w:color="auto" w:fill="FFF2CB"/>
                <w:vAlign w:val="center"/>
              </w:tcPr>
              <w:p w14:paraId="10287A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7BE98D3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Enhancing data protection in banking: Implementation and evaluation of an AI-driven system; S. Sugianto et al.; 2025</w:t>
                </w:r>
              </w:p>
            </w:tc>
          </w:tr>
          <w:tr w:rsidR="000E2BB3" w14:paraId="6B108943" w14:textId="77777777">
            <w:trPr>
              <w:jc w:val="center"/>
            </w:trPr>
            <w:tc>
              <w:tcPr>
                <w:tcW w:w="5112" w:type="dxa"/>
                <w:shd w:val="clear" w:color="auto" w:fill="FFF2CB"/>
                <w:vAlign w:val="center"/>
              </w:tcPr>
              <w:p w14:paraId="14BD10E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43EDF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4D938C5F" w14:textId="77777777">
            <w:trPr>
              <w:jc w:val="center"/>
            </w:trPr>
            <w:tc>
              <w:tcPr>
                <w:tcW w:w="5112" w:type="dxa"/>
                <w:shd w:val="clear" w:color="auto" w:fill="FFF2CB"/>
                <w:vAlign w:val="center"/>
              </w:tcPr>
              <w:p w14:paraId="746EBA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7009CF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107C17CF" w14:textId="77777777">
            <w:trPr>
              <w:jc w:val="center"/>
            </w:trPr>
            <w:tc>
              <w:tcPr>
                <w:tcW w:w="5112" w:type="dxa"/>
                <w:shd w:val="clear" w:color="auto" w:fill="FFF2CB"/>
                <w:vAlign w:val="center"/>
              </w:tcPr>
              <w:p w14:paraId="307CF90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56A0CD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 weakly indexed journal</w:t>
                </w:r>
              </w:p>
            </w:tc>
          </w:tr>
          <w:tr w:rsidR="000E2BB3" w14:paraId="41BBAD00" w14:textId="77777777">
            <w:trPr>
              <w:jc w:val="center"/>
            </w:trPr>
            <w:tc>
              <w:tcPr>
                <w:tcW w:w="5112" w:type="dxa"/>
                <w:shd w:val="clear" w:color="auto" w:fill="FFF2CB"/>
                <w:vAlign w:val="center"/>
              </w:tcPr>
              <w:p w14:paraId="03AA296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203400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Unclear peer review; no reproducible method</w:t>
                </w:r>
              </w:p>
            </w:tc>
          </w:tr>
          <w:tr w:rsidR="000E2BB3" w14:paraId="78B10308" w14:textId="77777777">
            <w:trPr>
              <w:jc w:val="center"/>
            </w:trPr>
            <w:tc>
              <w:tcPr>
                <w:tcW w:w="5112" w:type="dxa"/>
                <w:shd w:val="clear" w:color="auto" w:fill="FFF2CB"/>
                <w:vAlign w:val="center"/>
              </w:tcPr>
              <w:p w14:paraId="57E8A0C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26CF2F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39CE30EF" w14:textId="77777777" w:rsidR="000E2BB3" w:rsidRDefault="000E2BB3">
          <w:pPr>
            <w:rPr>
              <w:rFonts w:ascii="Times New Roman" w:eastAsia="Times New Roman" w:hAnsi="Times New Roman" w:cs="Times New Roman"/>
            </w:rPr>
          </w:pPr>
        </w:p>
        <w:p w14:paraId="3638116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341B7C8" w14:textId="77777777">
            <w:trPr>
              <w:jc w:val="center"/>
            </w:trPr>
            <w:tc>
              <w:tcPr>
                <w:tcW w:w="5112" w:type="dxa"/>
                <w:shd w:val="clear" w:color="auto" w:fill="FFF2CB"/>
                <w:vAlign w:val="center"/>
              </w:tcPr>
              <w:p w14:paraId="1FFF4D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04BB3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Balancing privacy and compliance: Data protection vs. AML obligations; A. Singh; 2025</w:t>
                </w:r>
              </w:p>
            </w:tc>
          </w:tr>
          <w:tr w:rsidR="000E2BB3" w14:paraId="413CAFB2" w14:textId="77777777">
            <w:trPr>
              <w:jc w:val="center"/>
            </w:trPr>
            <w:tc>
              <w:tcPr>
                <w:tcW w:w="5112" w:type="dxa"/>
                <w:shd w:val="clear" w:color="auto" w:fill="FFF2CB"/>
                <w:vAlign w:val="center"/>
              </w:tcPr>
              <w:p w14:paraId="5B3427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AE513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Self-deposited paper</w:t>
                </w:r>
              </w:p>
            </w:tc>
          </w:tr>
          <w:tr w:rsidR="000E2BB3" w14:paraId="05F5A8A1" w14:textId="77777777">
            <w:trPr>
              <w:jc w:val="center"/>
            </w:trPr>
            <w:tc>
              <w:tcPr>
                <w:tcW w:w="5112" w:type="dxa"/>
                <w:shd w:val="clear" w:color="auto" w:fill="FFF2CB"/>
                <w:vAlign w:val="center"/>
              </w:tcPr>
              <w:p w14:paraId="502D10F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6BF08A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D41EBFC" w14:textId="77777777">
            <w:trPr>
              <w:jc w:val="center"/>
            </w:trPr>
            <w:tc>
              <w:tcPr>
                <w:tcW w:w="5112" w:type="dxa"/>
                <w:shd w:val="clear" w:color="auto" w:fill="FFF2CB"/>
                <w:vAlign w:val="center"/>
              </w:tcPr>
              <w:p w14:paraId="3C52CC1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F6BFF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 Zenodo deposit, not peer-reviewed</w:t>
                </w:r>
              </w:p>
            </w:tc>
          </w:tr>
          <w:tr w:rsidR="000E2BB3" w14:paraId="53CD9482" w14:textId="77777777">
            <w:trPr>
              <w:jc w:val="center"/>
            </w:trPr>
            <w:tc>
              <w:tcPr>
                <w:tcW w:w="5112" w:type="dxa"/>
                <w:shd w:val="clear" w:color="auto" w:fill="FFF2CB"/>
                <w:vAlign w:val="center"/>
              </w:tcPr>
              <w:p w14:paraId="650714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BA7EA1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 editorial control</w:t>
                </w:r>
              </w:p>
            </w:tc>
          </w:tr>
          <w:tr w:rsidR="000E2BB3" w14:paraId="7CB0359F" w14:textId="77777777">
            <w:trPr>
              <w:jc w:val="center"/>
            </w:trPr>
            <w:tc>
              <w:tcPr>
                <w:tcW w:w="5112" w:type="dxa"/>
                <w:shd w:val="clear" w:color="auto" w:fill="FFF2CB"/>
                <w:vAlign w:val="center"/>
              </w:tcPr>
              <w:p w14:paraId="10C712A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0223D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0F060F7F" w14:textId="77777777" w:rsidR="000E2BB3" w:rsidRDefault="000E2BB3">
          <w:pPr>
            <w:rPr>
              <w:rFonts w:ascii="Times New Roman" w:eastAsia="Times New Roman" w:hAnsi="Times New Roman" w:cs="Times New Roman"/>
            </w:rPr>
          </w:pPr>
        </w:p>
        <w:p w14:paraId="768D42D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29: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53D636A" w14:textId="77777777">
            <w:trPr>
              <w:jc w:val="center"/>
            </w:trPr>
            <w:tc>
              <w:tcPr>
                <w:tcW w:w="5112" w:type="dxa"/>
                <w:shd w:val="clear" w:color="auto" w:fill="FFF2CB"/>
                <w:vAlign w:val="center"/>
              </w:tcPr>
              <w:p w14:paraId="244A2B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C7EBD9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Agentic AI for autonomous metadata management and enterprise data catalogues; U. Momin; 2026</w:t>
                </w:r>
              </w:p>
            </w:tc>
          </w:tr>
          <w:tr w:rsidR="000E2BB3" w14:paraId="18EFCF49" w14:textId="77777777">
            <w:trPr>
              <w:jc w:val="center"/>
            </w:trPr>
            <w:tc>
              <w:tcPr>
                <w:tcW w:w="5112" w:type="dxa"/>
                <w:shd w:val="clear" w:color="auto" w:fill="FFF2CB"/>
                <w:vAlign w:val="center"/>
              </w:tcPr>
              <w:p w14:paraId="0F1BAD8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3DBF9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220BF7B3" w14:textId="77777777">
            <w:trPr>
              <w:jc w:val="center"/>
            </w:trPr>
            <w:tc>
              <w:tcPr>
                <w:tcW w:w="5112" w:type="dxa"/>
                <w:shd w:val="clear" w:color="auto" w:fill="FFF2CB"/>
                <w:vAlign w:val="center"/>
              </w:tcPr>
              <w:p w14:paraId="42EFD4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5B8EA9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026CA32C" w14:textId="77777777">
            <w:trPr>
              <w:jc w:val="center"/>
            </w:trPr>
            <w:tc>
              <w:tcPr>
                <w:tcW w:w="5112" w:type="dxa"/>
                <w:shd w:val="clear" w:color="auto" w:fill="FFF2CB"/>
                <w:vAlign w:val="center"/>
              </w:tcPr>
              <w:p w14:paraId="402A4F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3247AAB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 journal outside the field, weak indexing</w:t>
                </w:r>
              </w:p>
            </w:tc>
          </w:tr>
          <w:tr w:rsidR="000E2BB3" w14:paraId="5FF59A78" w14:textId="77777777">
            <w:trPr>
              <w:jc w:val="center"/>
            </w:trPr>
            <w:tc>
              <w:tcPr>
                <w:tcW w:w="5112" w:type="dxa"/>
                <w:shd w:val="clear" w:color="auto" w:fill="FFF2CB"/>
                <w:vAlign w:val="center"/>
              </w:tcPr>
              <w:p w14:paraId="1CBC72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47036D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Promotional claims; no evaluation</w:t>
                </w:r>
              </w:p>
            </w:tc>
          </w:tr>
          <w:tr w:rsidR="000E2BB3" w14:paraId="0EEC5610" w14:textId="77777777">
            <w:trPr>
              <w:jc w:val="center"/>
            </w:trPr>
            <w:tc>
              <w:tcPr>
                <w:tcW w:w="5112" w:type="dxa"/>
                <w:shd w:val="clear" w:color="auto" w:fill="FFF2CB"/>
                <w:vAlign w:val="center"/>
              </w:tcPr>
              <w:p w14:paraId="6C33D3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B5109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1BAE6A19" w14:textId="77777777" w:rsidR="000E2BB3" w:rsidRDefault="000E2BB3">
          <w:pPr>
            <w:rPr>
              <w:rFonts w:ascii="Times New Roman" w:eastAsia="Times New Roman" w:hAnsi="Times New Roman" w:cs="Times New Roman"/>
            </w:rPr>
          </w:pPr>
        </w:p>
        <w:p w14:paraId="0D29031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CBB81CE" w14:textId="77777777">
            <w:trPr>
              <w:jc w:val="center"/>
            </w:trPr>
            <w:tc>
              <w:tcPr>
                <w:tcW w:w="5112" w:type="dxa"/>
                <w:shd w:val="clear" w:color="auto" w:fill="FFF2CB"/>
                <w:vAlign w:val="center"/>
              </w:tcPr>
              <w:p w14:paraId="79688A8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A9762F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k-anonymity: A model for protecting privacy; L. Sweeney; 2002</w:t>
                </w:r>
              </w:p>
            </w:tc>
          </w:tr>
          <w:tr w:rsidR="000E2BB3" w14:paraId="06D80862" w14:textId="77777777">
            <w:trPr>
              <w:jc w:val="center"/>
            </w:trPr>
            <w:tc>
              <w:tcPr>
                <w:tcW w:w="5112" w:type="dxa"/>
                <w:shd w:val="clear" w:color="auto" w:fill="FFF2CB"/>
                <w:vAlign w:val="center"/>
              </w:tcPr>
              <w:p w14:paraId="206F95E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3D67F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585D5AE2" w14:textId="77777777">
            <w:trPr>
              <w:jc w:val="center"/>
            </w:trPr>
            <w:tc>
              <w:tcPr>
                <w:tcW w:w="5112" w:type="dxa"/>
                <w:shd w:val="clear" w:color="auto" w:fill="FFF2CB"/>
                <w:vAlign w:val="center"/>
              </w:tcPr>
              <w:p w14:paraId="28C640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8A8A20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3FBD8F9E" w14:textId="77777777">
            <w:trPr>
              <w:jc w:val="center"/>
            </w:trPr>
            <w:tc>
              <w:tcPr>
                <w:tcW w:w="5112" w:type="dxa"/>
                <w:shd w:val="clear" w:color="auto" w:fill="FFF2CB"/>
                <w:vAlign w:val="center"/>
              </w:tcPr>
              <w:p w14:paraId="1074769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EF6DE5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 J. Uncertain. Fuzziness Knowl.-Based Syst.; foundational</w:t>
                </w:r>
              </w:p>
            </w:tc>
          </w:tr>
          <w:tr w:rsidR="000E2BB3" w14:paraId="153F304F" w14:textId="77777777">
            <w:trPr>
              <w:jc w:val="center"/>
            </w:trPr>
            <w:tc>
              <w:tcPr>
                <w:tcW w:w="5112" w:type="dxa"/>
                <w:shd w:val="clear" w:color="auto" w:fill="FFF2CB"/>
                <w:vAlign w:val="center"/>
              </w:tcPr>
              <w:p w14:paraId="663B879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4CCF0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Known weaknesses (l-diversity critiques)</w:t>
                </w:r>
              </w:p>
            </w:tc>
          </w:tr>
          <w:tr w:rsidR="000E2BB3" w14:paraId="19C170D4" w14:textId="77777777">
            <w:trPr>
              <w:jc w:val="center"/>
            </w:trPr>
            <w:tc>
              <w:tcPr>
                <w:tcW w:w="5112" w:type="dxa"/>
                <w:shd w:val="clear" w:color="auto" w:fill="FFF2CB"/>
                <w:vAlign w:val="center"/>
              </w:tcPr>
              <w:p w14:paraId="342D0A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F0765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D1223B3" w14:textId="77777777" w:rsidR="000E2BB3" w:rsidRDefault="000E2BB3">
          <w:pPr>
            <w:rPr>
              <w:rFonts w:ascii="Times New Roman" w:eastAsia="Times New Roman" w:hAnsi="Times New Roman" w:cs="Times New Roman"/>
            </w:rPr>
          </w:pPr>
        </w:p>
        <w:p w14:paraId="2BF043B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0FC37F3" w14:textId="77777777">
            <w:trPr>
              <w:jc w:val="center"/>
            </w:trPr>
            <w:tc>
              <w:tcPr>
                <w:tcW w:w="5112" w:type="dxa"/>
                <w:shd w:val="clear" w:color="auto" w:fill="FFF2CB"/>
                <w:vAlign w:val="center"/>
              </w:tcPr>
              <w:p w14:paraId="3B62E4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BF0691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Estimating the success of re-identifications in incomplete datasets using generative models; L. Rocher, J. M. Hendrickx, Y.-A. de Montjoye; 2019</w:t>
                </w:r>
              </w:p>
            </w:tc>
          </w:tr>
          <w:tr w:rsidR="000E2BB3" w14:paraId="500126AA" w14:textId="77777777">
            <w:trPr>
              <w:jc w:val="center"/>
            </w:trPr>
            <w:tc>
              <w:tcPr>
                <w:tcW w:w="5112" w:type="dxa"/>
                <w:shd w:val="clear" w:color="auto" w:fill="FFF2CB"/>
                <w:vAlign w:val="center"/>
              </w:tcPr>
              <w:p w14:paraId="56FB3FA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FC552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657F401F" w14:textId="77777777">
            <w:trPr>
              <w:jc w:val="center"/>
            </w:trPr>
            <w:tc>
              <w:tcPr>
                <w:tcW w:w="5112" w:type="dxa"/>
                <w:shd w:val="clear" w:color="auto" w:fill="FFF2CB"/>
                <w:vAlign w:val="center"/>
              </w:tcPr>
              <w:p w14:paraId="5735189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AFDCB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D470EE0" w14:textId="77777777">
            <w:trPr>
              <w:jc w:val="center"/>
            </w:trPr>
            <w:tc>
              <w:tcPr>
                <w:tcW w:w="5112" w:type="dxa"/>
                <w:shd w:val="clear" w:color="auto" w:fill="FFF2CB"/>
                <w:vAlign w:val="center"/>
              </w:tcPr>
              <w:p w14:paraId="5DCBD3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F7457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Nature Communications, peer-reviewed</w:t>
                </w:r>
              </w:p>
            </w:tc>
          </w:tr>
          <w:tr w:rsidR="000E2BB3" w14:paraId="647345E8" w14:textId="77777777">
            <w:trPr>
              <w:jc w:val="center"/>
            </w:trPr>
            <w:tc>
              <w:tcPr>
                <w:tcW w:w="5112" w:type="dxa"/>
                <w:shd w:val="clear" w:color="auto" w:fill="FFF2CB"/>
                <w:vAlign w:val="center"/>
              </w:tcPr>
              <w:p w14:paraId="0A128DA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4D117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Census-style data, not banking</w:t>
                </w:r>
              </w:p>
            </w:tc>
          </w:tr>
          <w:tr w:rsidR="000E2BB3" w14:paraId="04135B65" w14:textId="77777777">
            <w:trPr>
              <w:jc w:val="center"/>
            </w:trPr>
            <w:tc>
              <w:tcPr>
                <w:tcW w:w="5112" w:type="dxa"/>
                <w:shd w:val="clear" w:color="auto" w:fill="FFF2CB"/>
                <w:vAlign w:val="center"/>
              </w:tcPr>
              <w:p w14:paraId="354DBB5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21894D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5A5F042" w14:textId="77777777" w:rsidR="000E2BB3" w:rsidRDefault="000E2BB3">
          <w:pPr>
            <w:rPr>
              <w:rFonts w:ascii="Times New Roman" w:eastAsia="Times New Roman" w:hAnsi="Times New Roman" w:cs="Times New Roman"/>
            </w:rPr>
          </w:pPr>
        </w:p>
        <w:p w14:paraId="79FEF82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9C0B58E" w14:textId="77777777">
            <w:trPr>
              <w:jc w:val="center"/>
            </w:trPr>
            <w:tc>
              <w:tcPr>
                <w:tcW w:w="5112" w:type="dxa"/>
                <w:shd w:val="clear" w:color="auto" w:fill="FFF2CB"/>
                <w:vAlign w:val="center"/>
              </w:tcPr>
              <w:p w14:paraId="4582BC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39297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organizational AI governance; M. Mäntymäki et al.; 2022</w:t>
                </w:r>
              </w:p>
            </w:tc>
          </w:tr>
          <w:tr w:rsidR="000E2BB3" w14:paraId="537948B1" w14:textId="77777777">
            <w:trPr>
              <w:jc w:val="center"/>
            </w:trPr>
            <w:tc>
              <w:tcPr>
                <w:tcW w:w="5112" w:type="dxa"/>
                <w:shd w:val="clear" w:color="auto" w:fill="FFF2CB"/>
                <w:vAlign w:val="center"/>
              </w:tcPr>
              <w:p w14:paraId="210203D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Category (Journal, standard, report)</w:t>
                </w:r>
              </w:p>
            </w:tc>
            <w:tc>
              <w:tcPr>
                <w:tcW w:w="5112" w:type="dxa"/>
                <w:vAlign w:val="center"/>
              </w:tcPr>
              <w:p w14:paraId="655A47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03A13044" w14:textId="77777777">
            <w:trPr>
              <w:jc w:val="center"/>
            </w:trPr>
            <w:tc>
              <w:tcPr>
                <w:tcW w:w="5112" w:type="dxa"/>
                <w:shd w:val="clear" w:color="auto" w:fill="FFF2CB"/>
                <w:vAlign w:val="center"/>
              </w:tcPr>
              <w:p w14:paraId="6EE68A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D4F3B4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274FCD03" w14:textId="77777777">
            <w:trPr>
              <w:jc w:val="center"/>
            </w:trPr>
            <w:tc>
              <w:tcPr>
                <w:tcW w:w="5112" w:type="dxa"/>
                <w:shd w:val="clear" w:color="auto" w:fill="FFF2CB"/>
                <w:vAlign w:val="center"/>
              </w:tcPr>
              <w:p w14:paraId="59C559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30D10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AI and Ethics (Springer), peer-reviewed</w:t>
                </w:r>
              </w:p>
            </w:tc>
          </w:tr>
          <w:tr w:rsidR="000E2BB3" w14:paraId="70BC380E" w14:textId="77777777">
            <w:trPr>
              <w:jc w:val="center"/>
            </w:trPr>
            <w:tc>
              <w:tcPr>
                <w:tcW w:w="5112" w:type="dxa"/>
                <w:shd w:val="clear" w:color="auto" w:fill="FFF2CB"/>
                <w:vAlign w:val="center"/>
              </w:tcPr>
              <w:p w14:paraId="3B78AF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FEA0B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no empirical test</w:t>
                </w:r>
              </w:p>
            </w:tc>
          </w:tr>
          <w:tr w:rsidR="000E2BB3" w14:paraId="1D8C32D3" w14:textId="77777777">
            <w:trPr>
              <w:jc w:val="center"/>
            </w:trPr>
            <w:tc>
              <w:tcPr>
                <w:tcW w:w="5112" w:type="dxa"/>
                <w:shd w:val="clear" w:color="auto" w:fill="FFF2CB"/>
                <w:vAlign w:val="center"/>
              </w:tcPr>
              <w:p w14:paraId="7FBF687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D16C4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68693F5" w14:textId="77777777" w:rsidR="000E2BB3" w:rsidRDefault="000E2BB3">
          <w:pPr>
            <w:rPr>
              <w:rFonts w:ascii="Times New Roman" w:eastAsia="Times New Roman" w:hAnsi="Times New Roman" w:cs="Times New Roman"/>
            </w:rPr>
          </w:pPr>
        </w:p>
        <w:p w14:paraId="13E6E68A"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87C73FC" w14:textId="77777777">
            <w:trPr>
              <w:jc w:val="center"/>
            </w:trPr>
            <w:tc>
              <w:tcPr>
                <w:tcW w:w="5112" w:type="dxa"/>
                <w:shd w:val="clear" w:color="auto" w:fill="FFF2CB"/>
                <w:vAlign w:val="center"/>
              </w:tcPr>
              <w:p w14:paraId="1C26E90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BC610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AI governance: Themes, knowledge gaps and future agendas; T. Birkstedt et al.; 2023</w:t>
                </w:r>
              </w:p>
            </w:tc>
          </w:tr>
          <w:tr w:rsidR="000E2BB3" w14:paraId="1A3F58BD" w14:textId="77777777">
            <w:trPr>
              <w:jc w:val="center"/>
            </w:trPr>
            <w:tc>
              <w:tcPr>
                <w:tcW w:w="5112" w:type="dxa"/>
                <w:shd w:val="clear" w:color="auto" w:fill="FFF2CB"/>
                <w:vAlign w:val="center"/>
              </w:tcPr>
              <w:p w14:paraId="797A37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0BBA89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514C6787" w14:textId="77777777">
            <w:trPr>
              <w:jc w:val="center"/>
            </w:trPr>
            <w:tc>
              <w:tcPr>
                <w:tcW w:w="5112" w:type="dxa"/>
                <w:shd w:val="clear" w:color="auto" w:fill="FFF2CB"/>
                <w:vAlign w:val="center"/>
              </w:tcPr>
              <w:p w14:paraId="0B3C00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7F5F1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74D1522" w14:textId="77777777">
            <w:trPr>
              <w:jc w:val="center"/>
            </w:trPr>
            <w:tc>
              <w:tcPr>
                <w:tcW w:w="5112" w:type="dxa"/>
                <w:shd w:val="clear" w:color="auto" w:fill="FFF2CB"/>
                <w:vAlign w:val="center"/>
              </w:tcPr>
              <w:p w14:paraId="7B2C816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56C502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Research (Emerald), PRISMA systematic review</w:t>
                </w:r>
              </w:p>
            </w:tc>
          </w:tr>
          <w:tr w:rsidR="000E2BB3" w14:paraId="7757F53F" w14:textId="77777777">
            <w:trPr>
              <w:jc w:val="center"/>
            </w:trPr>
            <w:tc>
              <w:tcPr>
                <w:tcW w:w="5112" w:type="dxa"/>
                <w:shd w:val="clear" w:color="auto" w:fill="FFF2CB"/>
                <w:vAlign w:val="center"/>
              </w:tcPr>
              <w:p w14:paraId="43308F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8F057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Fast-moving field; pre-2023 literature</w:t>
                </w:r>
              </w:p>
            </w:tc>
          </w:tr>
          <w:tr w:rsidR="000E2BB3" w14:paraId="7428186B" w14:textId="77777777">
            <w:trPr>
              <w:jc w:val="center"/>
            </w:trPr>
            <w:tc>
              <w:tcPr>
                <w:tcW w:w="5112" w:type="dxa"/>
                <w:shd w:val="clear" w:color="auto" w:fill="FFF2CB"/>
                <w:vAlign w:val="center"/>
              </w:tcPr>
              <w:p w14:paraId="046878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6E7C2C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413DAFB1" w14:textId="77777777" w:rsidR="000E2BB3" w:rsidRDefault="000E2BB3">
          <w:pPr>
            <w:rPr>
              <w:rFonts w:ascii="Times New Roman" w:eastAsia="Times New Roman" w:hAnsi="Times New Roman" w:cs="Times New Roman"/>
            </w:rPr>
          </w:pPr>
        </w:p>
        <w:p w14:paraId="7689E5A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1D6B6CE" w14:textId="77777777">
            <w:trPr>
              <w:jc w:val="center"/>
            </w:trPr>
            <w:tc>
              <w:tcPr>
                <w:tcW w:w="5112" w:type="dxa"/>
                <w:shd w:val="clear" w:color="auto" w:fill="FFF2CB"/>
                <w:vAlign w:val="center"/>
              </w:tcPr>
              <w:p w14:paraId="233C15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2FF93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Humans and automation: Use, misuse, disuse, abuse; R. Parasuraman, V. Riley; 1997</w:t>
                </w:r>
              </w:p>
            </w:tc>
          </w:tr>
          <w:tr w:rsidR="000E2BB3" w14:paraId="4BF5EAF5" w14:textId="77777777">
            <w:trPr>
              <w:jc w:val="center"/>
            </w:trPr>
            <w:tc>
              <w:tcPr>
                <w:tcW w:w="5112" w:type="dxa"/>
                <w:shd w:val="clear" w:color="auto" w:fill="FFF2CB"/>
                <w:vAlign w:val="center"/>
              </w:tcPr>
              <w:p w14:paraId="152FDC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831722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12D7A7AF" w14:textId="77777777">
            <w:trPr>
              <w:jc w:val="center"/>
            </w:trPr>
            <w:tc>
              <w:tcPr>
                <w:tcW w:w="5112" w:type="dxa"/>
                <w:shd w:val="clear" w:color="auto" w:fill="FFF2CB"/>
                <w:vAlign w:val="center"/>
              </w:tcPr>
              <w:p w14:paraId="3443A53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2257A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06F8F0D" w14:textId="77777777">
            <w:trPr>
              <w:jc w:val="center"/>
            </w:trPr>
            <w:tc>
              <w:tcPr>
                <w:tcW w:w="5112" w:type="dxa"/>
                <w:shd w:val="clear" w:color="auto" w:fill="FFF2CB"/>
                <w:vAlign w:val="center"/>
              </w:tcPr>
              <w:p w14:paraId="76489B7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A8236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Human Factors (SAGE), seminal</w:t>
                </w:r>
              </w:p>
            </w:tc>
          </w:tr>
          <w:tr w:rsidR="000E2BB3" w14:paraId="56704ABC" w14:textId="77777777">
            <w:trPr>
              <w:jc w:val="center"/>
            </w:trPr>
            <w:tc>
              <w:tcPr>
                <w:tcW w:w="5112" w:type="dxa"/>
                <w:shd w:val="clear" w:color="auto" w:fill="FFF2CB"/>
                <w:vAlign w:val="center"/>
              </w:tcPr>
              <w:p w14:paraId="62CFC5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7CC5F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privacy- or data-specific</w:t>
                </w:r>
              </w:p>
            </w:tc>
          </w:tr>
          <w:tr w:rsidR="000E2BB3" w14:paraId="6233A74C" w14:textId="77777777">
            <w:trPr>
              <w:jc w:val="center"/>
            </w:trPr>
            <w:tc>
              <w:tcPr>
                <w:tcW w:w="5112" w:type="dxa"/>
                <w:shd w:val="clear" w:color="auto" w:fill="FFF2CB"/>
                <w:vAlign w:val="center"/>
              </w:tcPr>
              <w:p w14:paraId="2CEFF89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D21BB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2A608E4" w14:textId="77777777" w:rsidR="000E2BB3" w:rsidRDefault="000E2BB3">
          <w:pPr>
            <w:rPr>
              <w:rFonts w:ascii="Times New Roman" w:eastAsia="Times New Roman" w:hAnsi="Times New Roman" w:cs="Times New Roman"/>
            </w:rPr>
          </w:pPr>
        </w:p>
        <w:p w14:paraId="66AFFD73"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E800A40" w14:textId="77777777">
            <w:trPr>
              <w:jc w:val="center"/>
            </w:trPr>
            <w:tc>
              <w:tcPr>
                <w:tcW w:w="5112" w:type="dxa"/>
                <w:shd w:val="clear" w:color="auto" w:fill="FFF2CB"/>
                <w:vAlign w:val="center"/>
              </w:tcPr>
              <w:p w14:paraId="089B10E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3FE425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Automation bias: A systematic review of frequency, effect mediators, and mitigators; K. Goddard, A. Roudsari, J. C. Wyatt; 2012</w:t>
                </w:r>
              </w:p>
            </w:tc>
          </w:tr>
          <w:tr w:rsidR="000E2BB3" w14:paraId="56B17A73" w14:textId="77777777">
            <w:trPr>
              <w:jc w:val="center"/>
            </w:trPr>
            <w:tc>
              <w:tcPr>
                <w:tcW w:w="5112" w:type="dxa"/>
                <w:shd w:val="clear" w:color="auto" w:fill="FFF2CB"/>
                <w:vAlign w:val="center"/>
              </w:tcPr>
              <w:p w14:paraId="011616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75D05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65E885CE" w14:textId="77777777">
            <w:trPr>
              <w:jc w:val="center"/>
            </w:trPr>
            <w:tc>
              <w:tcPr>
                <w:tcW w:w="5112" w:type="dxa"/>
                <w:shd w:val="clear" w:color="auto" w:fill="FFF2CB"/>
                <w:vAlign w:val="center"/>
              </w:tcPr>
              <w:p w14:paraId="71B376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CE26F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852487D" w14:textId="77777777">
            <w:trPr>
              <w:jc w:val="center"/>
            </w:trPr>
            <w:tc>
              <w:tcPr>
                <w:tcW w:w="5112" w:type="dxa"/>
                <w:shd w:val="clear" w:color="auto" w:fill="FFF2CB"/>
                <w:vAlign w:val="center"/>
              </w:tcPr>
              <w:p w14:paraId="24622A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50DAA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JAMIA (Oxford University Press), systematic review of 74 studies</w:t>
                </w:r>
              </w:p>
            </w:tc>
          </w:tr>
          <w:tr w:rsidR="000E2BB3" w14:paraId="43F937E8" w14:textId="77777777">
            <w:trPr>
              <w:jc w:val="center"/>
            </w:trPr>
            <w:tc>
              <w:tcPr>
                <w:tcW w:w="5112" w:type="dxa"/>
                <w:shd w:val="clear" w:color="auto" w:fill="FFF2CB"/>
                <w:vAlign w:val="center"/>
              </w:tcPr>
              <w:p w14:paraId="67B3BD6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575D1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Healthcare decision support, not data governance</w:t>
                </w:r>
              </w:p>
            </w:tc>
          </w:tr>
          <w:tr w:rsidR="000E2BB3" w14:paraId="3E5018F5" w14:textId="77777777">
            <w:trPr>
              <w:jc w:val="center"/>
            </w:trPr>
            <w:tc>
              <w:tcPr>
                <w:tcW w:w="5112" w:type="dxa"/>
                <w:shd w:val="clear" w:color="auto" w:fill="FFF2CB"/>
                <w:vAlign w:val="center"/>
              </w:tcPr>
              <w:p w14:paraId="4AE28E5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07B1E8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1DA5416" w14:textId="77777777" w:rsidR="000E2BB3" w:rsidRDefault="000E2BB3">
          <w:pPr>
            <w:rPr>
              <w:rFonts w:ascii="Times New Roman" w:eastAsia="Times New Roman" w:hAnsi="Times New Roman" w:cs="Times New Roman"/>
            </w:rPr>
          </w:pPr>
        </w:p>
        <w:p w14:paraId="4FD884B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016E064" w14:textId="77777777">
            <w:trPr>
              <w:jc w:val="center"/>
            </w:trPr>
            <w:tc>
              <w:tcPr>
                <w:tcW w:w="5112" w:type="dxa"/>
                <w:shd w:val="clear" w:color="auto" w:fill="FFF2CB"/>
                <w:vAlign w:val="center"/>
              </w:tcPr>
              <w:p w14:paraId="406942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11866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Automating data governance with generative AI; L. W. Dietz, A. Wider, S. Harrer; 2025</w:t>
                </w:r>
              </w:p>
            </w:tc>
          </w:tr>
          <w:tr w:rsidR="000E2BB3" w14:paraId="7C822196" w14:textId="77777777">
            <w:trPr>
              <w:jc w:val="center"/>
            </w:trPr>
            <w:tc>
              <w:tcPr>
                <w:tcW w:w="5112" w:type="dxa"/>
                <w:shd w:val="clear" w:color="auto" w:fill="FFF2CB"/>
                <w:vAlign w:val="center"/>
              </w:tcPr>
              <w:p w14:paraId="48AB38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BB43C8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12A93A3A" w14:textId="77777777">
            <w:trPr>
              <w:jc w:val="center"/>
            </w:trPr>
            <w:tc>
              <w:tcPr>
                <w:tcW w:w="5112" w:type="dxa"/>
                <w:shd w:val="clear" w:color="auto" w:fill="FFF2CB"/>
                <w:vAlign w:val="center"/>
              </w:tcPr>
              <w:p w14:paraId="274F79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F05F5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2D6D2B5C" w14:textId="77777777">
            <w:trPr>
              <w:jc w:val="center"/>
            </w:trPr>
            <w:tc>
              <w:tcPr>
                <w:tcW w:w="5112" w:type="dxa"/>
                <w:shd w:val="clear" w:color="auto" w:fill="FFF2CB"/>
                <w:vAlign w:val="center"/>
              </w:tcPr>
              <w:p w14:paraId="012B72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AC3324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AAAI/ACM AIES 2025, peer-reviewed</w:t>
                </w:r>
              </w:p>
            </w:tc>
          </w:tr>
          <w:tr w:rsidR="000E2BB3" w14:paraId="6CED1F7F" w14:textId="77777777">
            <w:trPr>
              <w:jc w:val="center"/>
            </w:trPr>
            <w:tc>
              <w:tcPr>
                <w:tcW w:w="5112" w:type="dxa"/>
                <w:shd w:val="clear" w:color="auto" w:fill="FFF2CB"/>
                <w:vAlign w:val="center"/>
              </w:tcPr>
              <w:p w14:paraId="50252B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D07BD1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Consultancy-affiliated authors; 110 generated requests</w:t>
                </w:r>
              </w:p>
            </w:tc>
          </w:tr>
          <w:tr w:rsidR="000E2BB3" w14:paraId="106A934A" w14:textId="77777777">
            <w:trPr>
              <w:jc w:val="center"/>
            </w:trPr>
            <w:tc>
              <w:tcPr>
                <w:tcW w:w="5112" w:type="dxa"/>
                <w:shd w:val="clear" w:color="auto" w:fill="FFF2CB"/>
                <w:vAlign w:val="center"/>
              </w:tcPr>
              <w:p w14:paraId="5FDE41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C8A4AF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3A14224" w14:textId="77777777" w:rsidR="000E2BB3" w:rsidRDefault="000E2BB3">
          <w:pPr>
            <w:rPr>
              <w:rFonts w:ascii="Times New Roman" w:eastAsia="Times New Roman" w:hAnsi="Times New Roman" w:cs="Times New Roman"/>
            </w:rPr>
          </w:pPr>
        </w:p>
        <w:p w14:paraId="3C734B2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8061177" w14:textId="77777777">
            <w:trPr>
              <w:jc w:val="center"/>
            </w:trPr>
            <w:tc>
              <w:tcPr>
                <w:tcW w:w="5112" w:type="dxa"/>
                <w:shd w:val="clear" w:color="auto" w:fill="FFF2CB"/>
                <w:vAlign w:val="center"/>
              </w:tcPr>
              <w:p w14:paraId="2E15E1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87D3F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An AI-assisted approach for checking the completeness of privacy policies against GDPR; D. Torre et al.; 2020</w:t>
                </w:r>
              </w:p>
            </w:tc>
          </w:tr>
          <w:tr w:rsidR="000E2BB3" w14:paraId="5C1BECBA" w14:textId="77777777">
            <w:trPr>
              <w:jc w:val="center"/>
            </w:trPr>
            <w:tc>
              <w:tcPr>
                <w:tcW w:w="5112" w:type="dxa"/>
                <w:shd w:val="clear" w:color="auto" w:fill="FFF2CB"/>
                <w:vAlign w:val="center"/>
              </w:tcPr>
              <w:p w14:paraId="3BD8C23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059FBC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1B28BEF3" w14:textId="77777777">
            <w:trPr>
              <w:jc w:val="center"/>
            </w:trPr>
            <w:tc>
              <w:tcPr>
                <w:tcW w:w="5112" w:type="dxa"/>
                <w:shd w:val="clear" w:color="auto" w:fill="FFF2CB"/>
                <w:vAlign w:val="center"/>
              </w:tcPr>
              <w:p w14:paraId="365582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968F9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662CAB7E" w14:textId="77777777">
            <w:trPr>
              <w:jc w:val="center"/>
            </w:trPr>
            <w:tc>
              <w:tcPr>
                <w:tcW w:w="5112" w:type="dxa"/>
                <w:shd w:val="clear" w:color="auto" w:fill="FFF2CB"/>
                <w:vAlign w:val="center"/>
              </w:tcPr>
              <w:p w14:paraId="053230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183BE6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IEEE RE 2020, top requirements-engineering venue</w:t>
                </w:r>
              </w:p>
            </w:tc>
          </w:tr>
          <w:tr w:rsidR="000E2BB3" w14:paraId="3A52017F" w14:textId="77777777">
            <w:trPr>
              <w:jc w:val="center"/>
            </w:trPr>
            <w:tc>
              <w:tcPr>
                <w:tcW w:w="5112" w:type="dxa"/>
                <w:shd w:val="clear" w:color="auto" w:fill="FFF2CB"/>
                <w:vAlign w:val="center"/>
              </w:tcPr>
              <w:p w14:paraId="5ABBE9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5F7B11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Policy text, not data; GDPR not PIPEDA</w:t>
                </w:r>
              </w:p>
            </w:tc>
          </w:tr>
          <w:tr w:rsidR="000E2BB3" w14:paraId="32E4CDB8" w14:textId="77777777">
            <w:trPr>
              <w:jc w:val="center"/>
            </w:trPr>
            <w:tc>
              <w:tcPr>
                <w:tcW w:w="5112" w:type="dxa"/>
                <w:shd w:val="clear" w:color="auto" w:fill="FFF2CB"/>
                <w:vAlign w:val="center"/>
              </w:tcPr>
              <w:p w14:paraId="771030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Screening Decision (Include / Exclude / Pending)</w:t>
                </w:r>
              </w:p>
            </w:tc>
            <w:tc>
              <w:tcPr>
                <w:tcW w:w="5112" w:type="dxa"/>
                <w:vAlign w:val="center"/>
              </w:tcPr>
              <w:p w14:paraId="433066C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EB4E05E" w14:textId="77777777" w:rsidR="000E2BB3" w:rsidRDefault="000E2BB3">
          <w:pPr>
            <w:rPr>
              <w:rFonts w:ascii="Times New Roman" w:eastAsia="Times New Roman" w:hAnsi="Times New Roman" w:cs="Times New Roman"/>
            </w:rPr>
          </w:pPr>
        </w:p>
        <w:p w14:paraId="4C10256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9318060" w14:textId="77777777">
            <w:trPr>
              <w:jc w:val="center"/>
            </w:trPr>
            <w:tc>
              <w:tcPr>
                <w:tcW w:w="5112" w:type="dxa"/>
                <w:shd w:val="clear" w:color="auto" w:fill="FFF2CB"/>
                <w:vAlign w:val="center"/>
              </w:tcPr>
              <w:p w14:paraId="2278B80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C3931A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CompAi: A tool for GDPR completeness checking of privacy policies using AI; O. Amaral, S. Abualhaija, L. Briand; 2024</w:t>
                </w:r>
              </w:p>
            </w:tc>
          </w:tr>
          <w:tr w:rsidR="000E2BB3" w14:paraId="6ECF1038" w14:textId="77777777">
            <w:trPr>
              <w:jc w:val="center"/>
            </w:trPr>
            <w:tc>
              <w:tcPr>
                <w:tcW w:w="5112" w:type="dxa"/>
                <w:shd w:val="clear" w:color="auto" w:fill="FFF2CB"/>
                <w:vAlign w:val="center"/>
              </w:tcPr>
              <w:p w14:paraId="4B168D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B455B5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 (tool)</w:t>
                </w:r>
              </w:p>
            </w:tc>
          </w:tr>
          <w:tr w:rsidR="000E2BB3" w14:paraId="3484ED2E" w14:textId="77777777">
            <w:trPr>
              <w:jc w:val="center"/>
            </w:trPr>
            <w:tc>
              <w:tcPr>
                <w:tcW w:w="5112" w:type="dxa"/>
                <w:shd w:val="clear" w:color="auto" w:fill="FFF2CB"/>
                <w:vAlign w:val="center"/>
              </w:tcPr>
              <w:p w14:paraId="18AE23D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6BA1AD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r>
          <w:tr w:rsidR="000E2BB3" w14:paraId="574D227A" w14:textId="77777777">
            <w:trPr>
              <w:jc w:val="center"/>
            </w:trPr>
            <w:tc>
              <w:tcPr>
                <w:tcW w:w="5112" w:type="dxa"/>
                <w:shd w:val="clear" w:color="auto" w:fill="FFF2CB"/>
                <w:vAlign w:val="center"/>
              </w:tcPr>
              <w:p w14:paraId="6A8BC5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F15ED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IEEE/ACM ASE 2024</w:t>
                </w:r>
              </w:p>
            </w:tc>
          </w:tr>
          <w:tr w:rsidR="000E2BB3" w14:paraId="6FAFC38E" w14:textId="77777777">
            <w:trPr>
              <w:jc w:val="center"/>
            </w:trPr>
            <w:tc>
              <w:tcPr>
                <w:tcW w:w="5112" w:type="dxa"/>
                <w:shd w:val="clear" w:color="auto" w:fill="FFF2CB"/>
                <w:vAlign w:val="center"/>
              </w:tcPr>
              <w:p w14:paraId="4530877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1CA0F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Tool paper extending S29; overlap</w:t>
                </w:r>
              </w:p>
            </w:tc>
          </w:tr>
          <w:tr w:rsidR="000E2BB3" w14:paraId="079F59B5" w14:textId="77777777">
            <w:trPr>
              <w:jc w:val="center"/>
            </w:trPr>
            <w:tc>
              <w:tcPr>
                <w:tcW w:w="5112" w:type="dxa"/>
                <w:shd w:val="clear" w:color="auto" w:fill="FFF2CB"/>
                <w:vAlign w:val="center"/>
              </w:tcPr>
              <w:p w14:paraId="44EDFF0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95D33F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r>
        </w:tbl>
        <w:p w14:paraId="07413978" w14:textId="77777777" w:rsidR="000E2BB3" w:rsidRDefault="000E2BB3">
          <w:pPr>
            <w:rPr>
              <w:rFonts w:ascii="Times New Roman" w:eastAsia="Times New Roman" w:hAnsi="Times New Roman" w:cs="Times New Roman"/>
            </w:rPr>
          </w:pPr>
        </w:p>
        <w:p w14:paraId="6C46535C"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39: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51A429B" w14:textId="77777777">
            <w:trPr>
              <w:jc w:val="center"/>
            </w:trPr>
            <w:tc>
              <w:tcPr>
                <w:tcW w:w="5112" w:type="dxa"/>
                <w:shd w:val="clear" w:color="auto" w:fill="FFF2CB"/>
                <w:vAlign w:val="center"/>
              </w:tcPr>
              <w:p w14:paraId="60F8D5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5122B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Model Context Protocol (MCP): Landscape, security threats, and future research directions; X. Hou et al.; 2026</w:t>
                </w:r>
              </w:p>
            </w:tc>
          </w:tr>
          <w:tr w:rsidR="000E2BB3" w14:paraId="14E8E2EE" w14:textId="77777777">
            <w:trPr>
              <w:jc w:val="center"/>
            </w:trPr>
            <w:tc>
              <w:tcPr>
                <w:tcW w:w="5112" w:type="dxa"/>
                <w:shd w:val="clear" w:color="auto" w:fill="FFF2CB"/>
                <w:vAlign w:val="center"/>
              </w:tcPr>
              <w:p w14:paraId="3B7A0E0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477D9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42C6705F" w14:textId="77777777">
            <w:trPr>
              <w:jc w:val="center"/>
            </w:trPr>
            <w:tc>
              <w:tcPr>
                <w:tcW w:w="5112" w:type="dxa"/>
                <w:shd w:val="clear" w:color="auto" w:fill="FFF2CB"/>
                <w:vAlign w:val="center"/>
              </w:tcPr>
              <w:p w14:paraId="455691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52976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2639EEBB" w14:textId="77777777">
            <w:trPr>
              <w:jc w:val="center"/>
            </w:trPr>
            <w:tc>
              <w:tcPr>
                <w:tcW w:w="5112" w:type="dxa"/>
                <w:shd w:val="clear" w:color="auto" w:fill="FFF2CB"/>
                <w:vAlign w:val="center"/>
              </w:tcPr>
              <w:p w14:paraId="51D1C9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831B6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ACM TOSEM, peer-reviewed</w:t>
                </w:r>
              </w:p>
            </w:tc>
          </w:tr>
          <w:tr w:rsidR="000E2BB3" w14:paraId="3540981A" w14:textId="77777777">
            <w:trPr>
              <w:jc w:val="center"/>
            </w:trPr>
            <w:tc>
              <w:tcPr>
                <w:tcW w:w="5112" w:type="dxa"/>
                <w:shd w:val="clear" w:color="auto" w:fill="FFF2CB"/>
                <w:vAlign w:val="center"/>
              </w:tcPr>
              <w:p w14:paraId="178834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F4D58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Fast-moving protocol; threats may date quickly</w:t>
                </w:r>
              </w:p>
            </w:tc>
          </w:tr>
          <w:tr w:rsidR="000E2BB3" w14:paraId="35FC350A" w14:textId="77777777">
            <w:trPr>
              <w:jc w:val="center"/>
            </w:trPr>
            <w:tc>
              <w:tcPr>
                <w:tcW w:w="5112" w:type="dxa"/>
                <w:shd w:val="clear" w:color="auto" w:fill="FFF2CB"/>
                <w:vAlign w:val="center"/>
              </w:tcPr>
              <w:p w14:paraId="0A17DE0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0ADC8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78B83B2" w14:textId="77777777" w:rsidR="000E2BB3" w:rsidRDefault="000E2BB3">
          <w:pPr>
            <w:rPr>
              <w:rFonts w:ascii="Times New Roman" w:eastAsia="Times New Roman" w:hAnsi="Times New Roman" w:cs="Times New Roman"/>
            </w:rPr>
          </w:pPr>
        </w:p>
        <w:p w14:paraId="2E480CF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9145A50" w14:textId="77777777">
            <w:trPr>
              <w:jc w:val="center"/>
            </w:trPr>
            <w:tc>
              <w:tcPr>
                <w:tcW w:w="5112" w:type="dxa"/>
                <w:shd w:val="clear" w:color="auto" w:fill="FFF2CB"/>
                <w:vAlign w:val="center"/>
              </w:tcPr>
              <w:p w14:paraId="1D256C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FB18A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Systematization of knowledge: Security and safety in the MCP ecosystem; S. Gaire et al.; 2026</w:t>
                </w:r>
              </w:p>
            </w:tc>
          </w:tr>
          <w:tr w:rsidR="000E2BB3" w14:paraId="27F1D7B6" w14:textId="77777777">
            <w:trPr>
              <w:jc w:val="center"/>
            </w:trPr>
            <w:tc>
              <w:tcPr>
                <w:tcW w:w="5112" w:type="dxa"/>
                <w:shd w:val="clear" w:color="auto" w:fill="FFF2CB"/>
                <w:vAlign w:val="center"/>
              </w:tcPr>
              <w:p w14:paraId="3CD95F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A303F1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Conference paper</w:t>
                </w:r>
              </w:p>
            </w:tc>
          </w:tr>
          <w:tr w:rsidR="000E2BB3" w14:paraId="4264CF99" w14:textId="77777777">
            <w:trPr>
              <w:jc w:val="center"/>
            </w:trPr>
            <w:tc>
              <w:tcPr>
                <w:tcW w:w="5112" w:type="dxa"/>
                <w:shd w:val="clear" w:color="auto" w:fill="FFF2CB"/>
                <w:vAlign w:val="center"/>
              </w:tcPr>
              <w:p w14:paraId="03ED1F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AF0C9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EFF5F81" w14:textId="77777777">
            <w:trPr>
              <w:jc w:val="center"/>
            </w:trPr>
            <w:tc>
              <w:tcPr>
                <w:tcW w:w="5112" w:type="dxa"/>
                <w:shd w:val="clear" w:color="auto" w:fill="FFF2CB"/>
                <w:vAlign w:val="center"/>
              </w:tcPr>
              <w:p w14:paraId="307D01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46AB26E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LNNS (Springer)</w:t>
                </w:r>
              </w:p>
            </w:tc>
          </w:tr>
          <w:tr w:rsidR="000E2BB3" w14:paraId="77856949" w14:textId="77777777">
            <w:trPr>
              <w:jc w:val="center"/>
            </w:trPr>
            <w:tc>
              <w:tcPr>
                <w:tcW w:w="5112" w:type="dxa"/>
                <w:shd w:val="clear" w:color="auto" w:fill="FFF2CB"/>
                <w:vAlign w:val="center"/>
              </w:tcPr>
              <w:p w14:paraId="15FFA29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B0C72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Overlaps S31; needs full-text read</w:t>
                </w:r>
              </w:p>
            </w:tc>
          </w:tr>
          <w:tr w:rsidR="000E2BB3" w14:paraId="5D3ADD8B" w14:textId="77777777">
            <w:trPr>
              <w:jc w:val="center"/>
            </w:trPr>
            <w:tc>
              <w:tcPr>
                <w:tcW w:w="5112" w:type="dxa"/>
                <w:shd w:val="clear" w:color="auto" w:fill="FFF2CB"/>
                <w:vAlign w:val="center"/>
              </w:tcPr>
              <w:p w14:paraId="54250B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C29DE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r>
        </w:tbl>
        <w:p w14:paraId="365203A0" w14:textId="77777777" w:rsidR="000E2BB3" w:rsidRDefault="000E2BB3">
          <w:pPr>
            <w:rPr>
              <w:rFonts w:ascii="Times New Roman" w:eastAsia="Times New Roman" w:hAnsi="Times New Roman" w:cs="Times New Roman"/>
            </w:rPr>
          </w:pPr>
        </w:p>
        <w:p w14:paraId="0361DAB5"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88CCE6C" w14:textId="77777777">
            <w:trPr>
              <w:jc w:val="center"/>
            </w:trPr>
            <w:tc>
              <w:tcPr>
                <w:tcW w:w="5112" w:type="dxa"/>
                <w:shd w:val="clear" w:color="auto" w:fill="FFF2CB"/>
                <w:vAlign w:val="center"/>
              </w:tcPr>
              <w:p w14:paraId="5C1013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FC7A1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Mining attribute-based access control policies; Z. Xu, S. D. Stoller; 2014</w:t>
                </w:r>
              </w:p>
            </w:tc>
          </w:tr>
          <w:tr w:rsidR="000E2BB3" w14:paraId="0F4E32BE" w14:textId="77777777">
            <w:trPr>
              <w:jc w:val="center"/>
            </w:trPr>
            <w:tc>
              <w:tcPr>
                <w:tcW w:w="5112" w:type="dxa"/>
                <w:shd w:val="clear" w:color="auto" w:fill="FFF2CB"/>
                <w:vAlign w:val="center"/>
              </w:tcPr>
              <w:p w14:paraId="2CD7F4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3C608D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Journal article</w:t>
                </w:r>
              </w:p>
            </w:tc>
          </w:tr>
          <w:tr w:rsidR="000E2BB3" w14:paraId="1AAA10EB" w14:textId="77777777">
            <w:trPr>
              <w:jc w:val="center"/>
            </w:trPr>
            <w:tc>
              <w:tcPr>
                <w:tcW w:w="5112" w:type="dxa"/>
                <w:shd w:val="clear" w:color="auto" w:fill="FFF2CB"/>
                <w:vAlign w:val="center"/>
              </w:tcPr>
              <w:p w14:paraId="45FD68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5A3DE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r>
          <w:tr w:rsidR="000E2BB3" w14:paraId="701648DC" w14:textId="77777777">
            <w:trPr>
              <w:jc w:val="center"/>
            </w:trPr>
            <w:tc>
              <w:tcPr>
                <w:tcW w:w="5112" w:type="dxa"/>
                <w:shd w:val="clear" w:color="auto" w:fill="FFF2CB"/>
                <w:vAlign w:val="center"/>
              </w:tcPr>
              <w:p w14:paraId="0957BD2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601048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IEEE TDSC, peer-reviewed</w:t>
                </w:r>
              </w:p>
            </w:tc>
          </w:tr>
          <w:tr w:rsidR="000E2BB3" w14:paraId="4DAE45DE" w14:textId="77777777">
            <w:trPr>
              <w:jc w:val="center"/>
            </w:trPr>
            <w:tc>
              <w:tcPr>
                <w:tcW w:w="5112" w:type="dxa"/>
                <w:shd w:val="clear" w:color="auto" w:fill="FFF2CB"/>
                <w:vAlign w:val="center"/>
              </w:tcPr>
              <w:p w14:paraId="21F6202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A3B3D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Policy mining from logs, outside scope</w:t>
                </w:r>
              </w:p>
            </w:tc>
          </w:tr>
          <w:tr w:rsidR="000E2BB3" w14:paraId="0A300A01" w14:textId="77777777">
            <w:trPr>
              <w:jc w:val="center"/>
            </w:trPr>
            <w:tc>
              <w:tcPr>
                <w:tcW w:w="5112" w:type="dxa"/>
                <w:shd w:val="clear" w:color="auto" w:fill="FFF2CB"/>
                <w:vAlign w:val="center"/>
              </w:tcPr>
              <w:p w14:paraId="31BB46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87DB90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6FFC6E59" w14:textId="77777777" w:rsidR="000E2BB3" w:rsidRDefault="000E2BB3">
          <w:pPr>
            <w:rPr>
              <w:rFonts w:ascii="Times New Roman" w:eastAsia="Times New Roman" w:hAnsi="Times New Roman" w:cs="Times New Roman"/>
            </w:rPr>
          </w:pPr>
        </w:p>
        <w:p w14:paraId="4222500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8917BCF" w14:textId="77777777">
            <w:trPr>
              <w:jc w:val="center"/>
            </w:trPr>
            <w:tc>
              <w:tcPr>
                <w:tcW w:w="5112" w:type="dxa"/>
                <w:shd w:val="clear" w:color="auto" w:fill="FFF2CB"/>
                <w:vAlign w:val="center"/>
              </w:tcPr>
              <w:p w14:paraId="39660F5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B683A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PresidioMCP: Restricted FastMCP server for detecting and pseudonymizing PII in tabular data; P. Palacios et al.; 2025</w:t>
                </w:r>
              </w:p>
            </w:tc>
          </w:tr>
          <w:tr w:rsidR="000E2BB3" w14:paraId="075818E3" w14:textId="77777777">
            <w:trPr>
              <w:jc w:val="center"/>
            </w:trPr>
            <w:tc>
              <w:tcPr>
                <w:tcW w:w="5112" w:type="dxa"/>
                <w:shd w:val="clear" w:color="auto" w:fill="FFF2CB"/>
                <w:vAlign w:val="center"/>
              </w:tcPr>
              <w:p w14:paraId="504773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035B4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Dataset / software</w:t>
                </w:r>
              </w:p>
            </w:tc>
          </w:tr>
          <w:tr w:rsidR="000E2BB3" w14:paraId="1D4C95EB" w14:textId="77777777">
            <w:trPr>
              <w:jc w:val="center"/>
            </w:trPr>
            <w:tc>
              <w:tcPr>
                <w:tcW w:w="5112" w:type="dxa"/>
                <w:shd w:val="clear" w:color="auto" w:fill="FFF2CB"/>
                <w:vAlign w:val="center"/>
              </w:tcPr>
              <w:p w14:paraId="59BF7B0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1DFAF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BB84146" w14:textId="77777777">
            <w:trPr>
              <w:jc w:val="center"/>
            </w:trPr>
            <w:tc>
              <w:tcPr>
                <w:tcW w:w="5112" w:type="dxa"/>
                <w:shd w:val="clear" w:color="auto" w:fill="FFF2CB"/>
                <w:vAlign w:val="center"/>
              </w:tcPr>
              <w:p w14:paraId="1E20115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F452C1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 dataset deposit, no review</w:t>
                </w:r>
              </w:p>
            </w:tc>
          </w:tr>
          <w:tr w:rsidR="000E2BB3" w14:paraId="15615D12" w14:textId="77777777">
            <w:trPr>
              <w:jc w:val="center"/>
            </w:trPr>
            <w:tc>
              <w:tcPr>
                <w:tcW w:w="5112" w:type="dxa"/>
                <w:shd w:val="clear" w:color="auto" w:fill="FFF2CB"/>
                <w:vAlign w:val="center"/>
              </w:tcPr>
              <w:p w14:paraId="56ACDDA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0BFB3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 evaluation reported</w:t>
                </w:r>
              </w:p>
            </w:tc>
          </w:tr>
          <w:tr w:rsidR="000E2BB3" w14:paraId="421FD723" w14:textId="77777777">
            <w:trPr>
              <w:jc w:val="center"/>
            </w:trPr>
            <w:tc>
              <w:tcPr>
                <w:tcW w:w="5112" w:type="dxa"/>
                <w:shd w:val="clear" w:color="auto" w:fill="FFF2CB"/>
                <w:vAlign w:val="center"/>
              </w:tcPr>
              <w:p w14:paraId="533C4B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B316C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5A8D4456" w14:textId="77777777" w:rsidR="000E2BB3" w:rsidRDefault="000E2BB3">
          <w:pPr>
            <w:rPr>
              <w:rFonts w:ascii="Times New Roman" w:eastAsia="Times New Roman" w:hAnsi="Times New Roman" w:cs="Times New Roman"/>
            </w:rPr>
          </w:pPr>
        </w:p>
        <w:p w14:paraId="7883834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2D8DA28" w14:textId="77777777">
            <w:trPr>
              <w:jc w:val="center"/>
            </w:trPr>
            <w:tc>
              <w:tcPr>
                <w:tcW w:w="5112" w:type="dxa"/>
                <w:shd w:val="clear" w:color="auto" w:fill="FFF2CB"/>
                <w:vAlign w:val="center"/>
              </w:tcPr>
              <w:p w14:paraId="685084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74065AD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DAMA-DMBOK: Data Management Body of Knowledge, 2nd ed. revised; DAMA International; 2024</w:t>
                </w:r>
              </w:p>
            </w:tc>
          </w:tr>
          <w:tr w:rsidR="000E2BB3" w14:paraId="13C66034" w14:textId="77777777">
            <w:trPr>
              <w:jc w:val="center"/>
            </w:trPr>
            <w:tc>
              <w:tcPr>
                <w:tcW w:w="5112" w:type="dxa"/>
                <w:shd w:val="clear" w:color="auto" w:fill="FFF2CB"/>
                <w:vAlign w:val="center"/>
              </w:tcPr>
              <w:p w14:paraId="4435EC6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Category (Journal, standard, report)</w:t>
                </w:r>
              </w:p>
            </w:tc>
            <w:tc>
              <w:tcPr>
                <w:tcW w:w="5112" w:type="dxa"/>
                <w:vAlign w:val="center"/>
              </w:tcPr>
              <w:p w14:paraId="63BAE3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Handbook</w:t>
                </w:r>
              </w:p>
            </w:tc>
          </w:tr>
          <w:tr w:rsidR="000E2BB3" w14:paraId="3ECAC861" w14:textId="77777777">
            <w:trPr>
              <w:jc w:val="center"/>
            </w:trPr>
            <w:tc>
              <w:tcPr>
                <w:tcW w:w="5112" w:type="dxa"/>
                <w:shd w:val="clear" w:color="auto" w:fill="FFF2CB"/>
                <w:vAlign w:val="center"/>
              </w:tcPr>
              <w:p w14:paraId="3C65565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6AE7B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7A76309" w14:textId="77777777">
            <w:trPr>
              <w:jc w:val="center"/>
            </w:trPr>
            <w:tc>
              <w:tcPr>
                <w:tcW w:w="5112" w:type="dxa"/>
                <w:shd w:val="clear" w:color="auto" w:fill="FFF2CB"/>
                <w:vAlign w:val="center"/>
              </w:tcPr>
              <w:p w14:paraId="0475FD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D9426F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Professional body of knowledge (DAMA International)</w:t>
                </w:r>
              </w:p>
            </w:tc>
          </w:tr>
          <w:tr w:rsidR="000E2BB3" w14:paraId="7344613F" w14:textId="77777777">
            <w:trPr>
              <w:jc w:val="center"/>
            </w:trPr>
            <w:tc>
              <w:tcPr>
                <w:tcW w:w="5112" w:type="dxa"/>
                <w:shd w:val="clear" w:color="auto" w:fill="FFF2CB"/>
                <w:vAlign w:val="center"/>
              </w:tcPr>
              <w:p w14:paraId="6B8F4E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3D2A65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Practitioner consensus, not empirical</w:t>
                </w:r>
              </w:p>
            </w:tc>
          </w:tr>
          <w:tr w:rsidR="000E2BB3" w14:paraId="1C926DF5" w14:textId="77777777">
            <w:trPr>
              <w:jc w:val="center"/>
            </w:trPr>
            <w:tc>
              <w:tcPr>
                <w:tcW w:w="5112" w:type="dxa"/>
                <w:shd w:val="clear" w:color="auto" w:fill="FFF2CB"/>
                <w:vAlign w:val="center"/>
              </w:tcPr>
              <w:p w14:paraId="2153A1A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06D4F9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8910248" w14:textId="77777777" w:rsidR="000E2BB3" w:rsidRDefault="000E2BB3">
          <w:pPr>
            <w:rPr>
              <w:rFonts w:ascii="Times New Roman" w:eastAsia="Times New Roman" w:hAnsi="Times New Roman" w:cs="Times New Roman"/>
            </w:rPr>
          </w:pPr>
        </w:p>
        <w:p w14:paraId="2E11596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71F12D36" w14:textId="77777777">
            <w:trPr>
              <w:jc w:val="center"/>
            </w:trPr>
            <w:tc>
              <w:tcPr>
                <w:tcW w:w="5112" w:type="dxa"/>
                <w:shd w:val="clear" w:color="auto" w:fill="FFF2CB"/>
                <w:vAlign w:val="center"/>
              </w:tcPr>
              <w:p w14:paraId="6AA079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95661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Warehouse Toolkit, 3rd ed.; R. Kimball, M. Ross; 2013</w:t>
                </w:r>
              </w:p>
            </w:tc>
          </w:tr>
          <w:tr w:rsidR="000E2BB3" w14:paraId="7D6D9CB9" w14:textId="77777777">
            <w:trPr>
              <w:jc w:val="center"/>
            </w:trPr>
            <w:tc>
              <w:tcPr>
                <w:tcW w:w="5112" w:type="dxa"/>
                <w:shd w:val="clear" w:color="auto" w:fill="FFF2CB"/>
                <w:vAlign w:val="center"/>
              </w:tcPr>
              <w:p w14:paraId="4C60535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66B4C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book</w:t>
                </w:r>
              </w:p>
            </w:tc>
          </w:tr>
          <w:tr w:rsidR="000E2BB3" w14:paraId="4140C922" w14:textId="77777777">
            <w:trPr>
              <w:jc w:val="center"/>
            </w:trPr>
            <w:tc>
              <w:tcPr>
                <w:tcW w:w="5112" w:type="dxa"/>
                <w:shd w:val="clear" w:color="auto" w:fill="FFF2CB"/>
                <w:vAlign w:val="center"/>
              </w:tcPr>
              <w:p w14:paraId="7122600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ECA483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0354999" w14:textId="77777777">
            <w:trPr>
              <w:jc w:val="center"/>
            </w:trPr>
            <w:tc>
              <w:tcPr>
                <w:tcW w:w="5112" w:type="dxa"/>
                <w:shd w:val="clear" w:color="auto" w:fill="FFF2CB"/>
                <w:vAlign w:val="center"/>
              </w:tcPr>
              <w:p w14:paraId="6D70F9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22C7FF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Wiley; standard dimensional-modelling reference</w:t>
                </w:r>
              </w:p>
            </w:tc>
          </w:tr>
          <w:tr w:rsidR="000E2BB3" w14:paraId="020E3F4D" w14:textId="77777777">
            <w:trPr>
              <w:jc w:val="center"/>
            </w:trPr>
            <w:tc>
              <w:tcPr>
                <w:tcW w:w="5112" w:type="dxa"/>
                <w:shd w:val="clear" w:color="auto" w:fill="FFF2CB"/>
                <w:vAlign w:val="center"/>
              </w:tcPr>
              <w:p w14:paraId="37552E8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9E6B08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 privacy content</w:t>
                </w:r>
              </w:p>
            </w:tc>
          </w:tr>
          <w:tr w:rsidR="000E2BB3" w14:paraId="4178D43F" w14:textId="77777777">
            <w:trPr>
              <w:jc w:val="center"/>
            </w:trPr>
            <w:tc>
              <w:tcPr>
                <w:tcW w:w="5112" w:type="dxa"/>
                <w:shd w:val="clear" w:color="auto" w:fill="FFF2CB"/>
                <w:vAlign w:val="center"/>
              </w:tcPr>
              <w:p w14:paraId="779F18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D877A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3735997" w14:textId="77777777" w:rsidR="000E2BB3" w:rsidRDefault="000E2BB3">
          <w:pPr>
            <w:rPr>
              <w:rFonts w:ascii="Times New Roman" w:eastAsia="Times New Roman" w:hAnsi="Times New Roman" w:cs="Times New Roman"/>
            </w:rPr>
          </w:pPr>
        </w:p>
        <w:p w14:paraId="0B40D47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B7E670F" w14:textId="77777777">
            <w:trPr>
              <w:jc w:val="center"/>
            </w:trPr>
            <w:tc>
              <w:tcPr>
                <w:tcW w:w="5112" w:type="dxa"/>
                <w:shd w:val="clear" w:color="auto" w:fill="FFF2CB"/>
                <w:vAlign w:val="center"/>
              </w:tcPr>
              <w:p w14:paraId="5124A90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67682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Driving Data Quality with Data Contracts; A. Jones; 2023</w:t>
                </w:r>
              </w:p>
            </w:tc>
          </w:tr>
          <w:tr w:rsidR="000E2BB3" w14:paraId="7291FA83" w14:textId="77777777">
            <w:trPr>
              <w:jc w:val="center"/>
            </w:trPr>
            <w:tc>
              <w:tcPr>
                <w:tcW w:w="5112" w:type="dxa"/>
                <w:shd w:val="clear" w:color="auto" w:fill="FFF2CB"/>
                <w:vAlign w:val="center"/>
              </w:tcPr>
              <w:p w14:paraId="0B4454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76FAEC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book</w:t>
                </w:r>
              </w:p>
            </w:tc>
          </w:tr>
          <w:tr w:rsidR="000E2BB3" w14:paraId="732E8D03" w14:textId="77777777">
            <w:trPr>
              <w:jc w:val="center"/>
            </w:trPr>
            <w:tc>
              <w:tcPr>
                <w:tcW w:w="5112" w:type="dxa"/>
                <w:shd w:val="clear" w:color="auto" w:fill="FFF2CB"/>
                <w:vAlign w:val="center"/>
              </w:tcPr>
              <w:p w14:paraId="654460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B27066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40B25F6A" w14:textId="77777777">
            <w:trPr>
              <w:jc w:val="center"/>
            </w:trPr>
            <w:tc>
              <w:tcPr>
                <w:tcW w:w="5112" w:type="dxa"/>
                <w:shd w:val="clear" w:color="auto" w:fill="FFF2CB"/>
                <w:vAlign w:val="center"/>
              </w:tcPr>
              <w:p w14:paraId="5BE4B1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F70427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Packt; practitioner author</w:t>
                </w:r>
              </w:p>
            </w:tc>
          </w:tr>
          <w:tr w:rsidR="000E2BB3" w14:paraId="358EA1A2" w14:textId="77777777">
            <w:trPr>
              <w:jc w:val="center"/>
            </w:trPr>
            <w:tc>
              <w:tcPr>
                <w:tcW w:w="5112" w:type="dxa"/>
                <w:shd w:val="clear" w:color="auto" w:fill="FFF2CB"/>
                <w:vAlign w:val="center"/>
              </w:tcPr>
              <w:p w14:paraId="160348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6FAFB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Single-author practice view</w:t>
                </w:r>
              </w:p>
            </w:tc>
          </w:tr>
          <w:tr w:rsidR="000E2BB3" w14:paraId="3850532C" w14:textId="77777777">
            <w:trPr>
              <w:jc w:val="center"/>
            </w:trPr>
            <w:tc>
              <w:tcPr>
                <w:tcW w:w="5112" w:type="dxa"/>
                <w:shd w:val="clear" w:color="auto" w:fill="FFF2CB"/>
                <w:vAlign w:val="center"/>
              </w:tcPr>
              <w:p w14:paraId="3BDB98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27CC9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C939A78" w14:textId="77777777" w:rsidR="000E2BB3" w:rsidRDefault="000E2BB3">
          <w:pPr>
            <w:rPr>
              <w:rFonts w:ascii="Times New Roman" w:eastAsia="Times New Roman" w:hAnsi="Times New Roman" w:cs="Times New Roman"/>
            </w:rPr>
          </w:pPr>
        </w:p>
        <w:p w14:paraId="4599E57B"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5037A15" w14:textId="77777777">
            <w:trPr>
              <w:jc w:val="center"/>
            </w:trPr>
            <w:tc>
              <w:tcPr>
                <w:tcW w:w="5112" w:type="dxa"/>
                <w:shd w:val="clear" w:color="auto" w:fill="FFF2CB"/>
                <w:vAlign w:val="center"/>
              </w:tcPr>
              <w:p w14:paraId="3C056B2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36EBF42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Mesh: Delivering Data-Driven Value at Scale; Z. Dehghani; 2022</w:t>
                </w:r>
              </w:p>
            </w:tc>
          </w:tr>
          <w:tr w:rsidR="000E2BB3" w14:paraId="460DB006" w14:textId="77777777">
            <w:trPr>
              <w:jc w:val="center"/>
            </w:trPr>
            <w:tc>
              <w:tcPr>
                <w:tcW w:w="5112" w:type="dxa"/>
                <w:shd w:val="clear" w:color="auto" w:fill="FFF2CB"/>
                <w:vAlign w:val="center"/>
              </w:tcPr>
              <w:p w14:paraId="416F24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FCFE83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book</w:t>
                </w:r>
              </w:p>
            </w:tc>
          </w:tr>
          <w:tr w:rsidR="000E2BB3" w14:paraId="7FEEE883" w14:textId="77777777">
            <w:trPr>
              <w:jc w:val="center"/>
            </w:trPr>
            <w:tc>
              <w:tcPr>
                <w:tcW w:w="5112" w:type="dxa"/>
                <w:shd w:val="clear" w:color="auto" w:fill="FFF2CB"/>
                <w:vAlign w:val="center"/>
              </w:tcPr>
              <w:p w14:paraId="1626A8A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6421CE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9B0F8CD" w14:textId="77777777">
            <w:trPr>
              <w:jc w:val="center"/>
            </w:trPr>
            <w:tc>
              <w:tcPr>
                <w:tcW w:w="5112" w:type="dxa"/>
                <w:shd w:val="clear" w:color="auto" w:fill="FFF2CB"/>
                <w:vAlign w:val="center"/>
              </w:tcPr>
              <w:p w14:paraId="0B5ADF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84993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O'Reilly; originator of the concept</w:t>
                </w:r>
              </w:p>
            </w:tc>
          </w:tr>
          <w:tr w:rsidR="000E2BB3" w14:paraId="7A139740" w14:textId="77777777">
            <w:trPr>
              <w:jc w:val="center"/>
            </w:trPr>
            <w:tc>
              <w:tcPr>
                <w:tcW w:w="5112" w:type="dxa"/>
                <w:shd w:val="clear" w:color="auto" w:fill="FFF2CB"/>
                <w:vAlign w:val="center"/>
              </w:tcPr>
              <w:p w14:paraId="1545B99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EEDF66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Advocacy for the author's own paradigm</w:t>
                </w:r>
              </w:p>
            </w:tc>
          </w:tr>
          <w:tr w:rsidR="000E2BB3" w14:paraId="026E693A" w14:textId="77777777">
            <w:trPr>
              <w:jc w:val="center"/>
            </w:trPr>
            <w:tc>
              <w:tcPr>
                <w:tcW w:w="5112" w:type="dxa"/>
                <w:shd w:val="clear" w:color="auto" w:fill="FFF2CB"/>
                <w:vAlign w:val="center"/>
              </w:tcPr>
              <w:p w14:paraId="5C9E62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332799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0C7765D" w14:textId="77777777" w:rsidR="000E2BB3" w:rsidRDefault="000E2BB3">
          <w:pPr>
            <w:rPr>
              <w:rFonts w:ascii="Times New Roman" w:eastAsia="Times New Roman" w:hAnsi="Times New Roman" w:cs="Times New Roman"/>
            </w:rPr>
          </w:pPr>
        </w:p>
        <w:p w14:paraId="5F14B2A4"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0AC8BF8" w14:textId="77777777">
            <w:trPr>
              <w:jc w:val="center"/>
            </w:trPr>
            <w:tc>
              <w:tcPr>
                <w:tcW w:w="5112" w:type="dxa"/>
                <w:shd w:val="clear" w:color="auto" w:fill="FFF2CB"/>
                <w:vAlign w:val="center"/>
              </w:tcPr>
              <w:p w14:paraId="38161A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30E8FB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Context aware sensitive information detection (US 10,984,316 B2); M. Qiao et al. (IBM); 2021</w:t>
                </w:r>
              </w:p>
            </w:tc>
          </w:tr>
          <w:tr w:rsidR="000E2BB3" w14:paraId="52B5F9DA" w14:textId="77777777">
            <w:trPr>
              <w:jc w:val="center"/>
            </w:trPr>
            <w:tc>
              <w:tcPr>
                <w:tcW w:w="5112" w:type="dxa"/>
                <w:shd w:val="clear" w:color="auto" w:fill="FFF2CB"/>
                <w:vAlign w:val="center"/>
              </w:tcPr>
              <w:p w14:paraId="168261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2EF55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w:t>
                </w:r>
              </w:p>
            </w:tc>
          </w:tr>
          <w:tr w:rsidR="000E2BB3" w14:paraId="39392B9F" w14:textId="77777777">
            <w:trPr>
              <w:jc w:val="center"/>
            </w:trPr>
            <w:tc>
              <w:tcPr>
                <w:tcW w:w="5112" w:type="dxa"/>
                <w:shd w:val="clear" w:color="auto" w:fill="FFF2CB"/>
                <w:vAlign w:val="center"/>
              </w:tcPr>
              <w:p w14:paraId="2A3F08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F3B83B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1A4B0218" w14:textId="77777777">
            <w:trPr>
              <w:jc w:val="center"/>
            </w:trPr>
            <w:tc>
              <w:tcPr>
                <w:tcW w:w="5112" w:type="dxa"/>
                <w:shd w:val="clear" w:color="auto" w:fill="FFF2CB"/>
                <w:vAlign w:val="center"/>
              </w:tcPr>
              <w:p w14:paraId="614B3D5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1E7C1C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Granted U.S. patent</w:t>
                </w:r>
              </w:p>
            </w:tc>
          </w:tr>
          <w:tr w:rsidR="000E2BB3" w14:paraId="3581A6A9" w14:textId="77777777">
            <w:trPr>
              <w:jc w:val="center"/>
            </w:trPr>
            <w:tc>
              <w:tcPr>
                <w:tcW w:w="5112" w:type="dxa"/>
                <w:shd w:val="clear" w:color="auto" w:fill="FFF2CB"/>
                <w:vAlign w:val="center"/>
              </w:tcPr>
              <w:p w14:paraId="4A9C21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2B42F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Claims, not evaluated performance</w:t>
                </w:r>
              </w:p>
            </w:tc>
          </w:tr>
          <w:tr w:rsidR="000E2BB3" w14:paraId="048AC286" w14:textId="77777777">
            <w:trPr>
              <w:jc w:val="center"/>
            </w:trPr>
            <w:tc>
              <w:tcPr>
                <w:tcW w:w="5112" w:type="dxa"/>
                <w:shd w:val="clear" w:color="auto" w:fill="FFF2CB"/>
                <w:vAlign w:val="center"/>
              </w:tcPr>
              <w:p w14:paraId="49E383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8432F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A553AE3" w14:textId="77777777" w:rsidR="000E2BB3" w:rsidRDefault="000E2BB3">
          <w:pPr>
            <w:rPr>
              <w:rFonts w:ascii="Times New Roman" w:eastAsia="Times New Roman" w:hAnsi="Times New Roman" w:cs="Times New Roman"/>
            </w:rPr>
          </w:pPr>
        </w:p>
        <w:p w14:paraId="12C0F6C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39BCE90" w14:textId="77777777">
            <w:trPr>
              <w:jc w:val="center"/>
            </w:trPr>
            <w:tc>
              <w:tcPr>
                <w:tcW w:w="5112" w:type="dxa"/>
                <w:shd w:val="clear" w:color="auto" w:fill="FFF2CB"/>
                <w:vAlign w:val="center"/>
              </w:tcPr>
              <w:p w14:paraId="0FC6E6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C9462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system and methods for determining confidence levels of personal information findings (US 11,113,633 B2); Y. Enuka et al. (BigID); 2021</w:t>
                </w:r>
              </w:p>
            </w:tc>
          </w:tr>
          <w:tr w:rsidR="000E2BB3" w14:paraId="1D686D26" w14:textId="77777777">
            <w:trPr>
              <w:jc w:val="center"/>
            </w:trPr>
            <w:tc>
              <w:tcPr>
                <w:tcW w:w="5112" w:type="dxa"/>
                <w:shd w:val="clear" w:color="auto" w:fill="FFF2CB"/>
                <w:vAlign w:val="center"/>
              </w:tcPr>
              <w:p w14:paraId="4B503A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FD22F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w:t>
                </w:r>
              </w:p>
            </w:tc>
          </w:tr>
          <w:tr w:rsidR="000E2BB3" w14:paraId="5CB2ABA5" w14:textId="77777777">
            <w:trPr>
              <w:jc w:val="center"/>
            </w:trPr>
            <w:tc>
              <w:tcPr>
                <w:tcW w:w="5112" w:type="dxa"/>
                <w:shd w:val="clear" w:color="auto" w:fill="FFF2CB"/>
                <w:vAlign w:val="center"/>
              </w:tcPr>
              <w:p w14:paraId="4A300D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076E8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2EF5400B" w14:textId="77777777">
            <w:trPr>
              <w:jc w:val="center"/>
            </w:trPr>
            <w:tc>
              <w:tcPr>
                <w:tcW w:w="5112" w:type="dxa"/>
                <w:shd w:val="clear" w:color="auto" w:fill="FFF2CB"/>
                <w:vAlign w:val="center"/>
              </w:tcPr>
              <w:p w14:paraId="4D6FCB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4D949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Granted U.S. patent</w:t>
                </w:r>
              </w:p>
            </w:tc>
          </w:tr>
          <w:tr w:rsidR="000E2BB3" w14:paraId="2405117A" w14:textId="77777777">
            <w:trPr>
              <w:jc w:val="center"/>
            </w:trPr>
            <w:tc>
              <w:tcPr>
                <w:tcW w:w="5112" w:type="dxa"/>
                <w:shd w:val="clear" w:color="auto" w:fill="FFF2CB"/>
                <w:vAlign w:val="center"/>
              </w:tcPr>
              <w:p w14:paraId="11A6BC0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487AD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claims</w:t>
                </w:r>
              </w:p>
            </w:tc>
          </w:tr>
          <w:tr w:rsidR="000E2BB3" w14:paraId="76B161E4" w14:textId="77777777">
            <w:trPr>
              <w:jc w:val="center"/>
            </w:trPr>
            <w:tc>
              <w:tcPr>
                <w:tcW w:w="5112" w:type="dxa"/>
                <w:shd w:val="clear" w:color="auto" w:fill="FFF2CB"/>
                <w:vAlign w:val="center"/>
              </w:tcPr>
              <w:p w14:paraId="717C30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45B1E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E055C45" w14:textId="77777777" w:rsidR="000E2BB3" w:rsidRDefault="000E2BB3">
          <w:pPr>
            <w:rPr>
              <w:rFonts w:ascii="Times New Roman" w:eastAsia="Times New Roman" w:hAnsi="Times New Roman" w:cs="Times New Roman"/>
            </w:rPr>
          </w:pPr>
        </w:p>
        <w:p w14:paraId="7EB180E1"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49: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73F5605E" w14:textId="77777777">
            <w:trPr>
              <w:jc w:val="center"/>
            </w:trPr>
            <w:tc>
              <w:tcPr>
                <w:tcW w:w="5112" w:type="dxa"/>
                <w:shd w:val="clear" w:color="auto" w:fill="FFF2CB"/>
                <w:vAlign w:val="center"/>
              </w:tcPr>
              <w:p w14:paraId="7AAA325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E5953E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access control system and data access control method (US 11,556,661 B2); K. Kakui (Hitachi); 2023</w:t>
                </w:r>
              </w:p>
            </w:tc>
          </w:tr>
          <w:tr w:rsidR="000E2BB3" w14:paraId="6074BB19" w14:textId="77777777">
            <w:trPr>
              <w:jc w:val="center"/>
            </w:trPr>
            <w:tc>
              <w:tcPr>
                <w:tcW w:w="5112" w:type="dxa"/>
                <w:shd w:val="clear" w:color="auto" w:fill="FFF2CB"/>
                <w:vAlign w:val="center"/>
              </w:tcPr>
              <w:p w14:paraId="277EFC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D9822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w:t>
                </w:r>
              </w:p>
            </w:tc>
          </w:tr>
          <w:tr w:rsidR="000E2BB3" w14:paraId="7AF8D295" w14:textId="77777777">
            <w:trPr>
              <w:jc w:val="center"/>
            </w:trPr>
            <w:tc>
              <w:tcPr>
                <w:tcW w:w="5112" w:type="dxa"/>
                <w:shd w:val="clear" w:color="auto" w:fill="FFF2CB"/>
                <w:vAlign w:val="center"/>
              </w:tcPr>
              <w:p w14:paraId="793A94A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765E4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6AD8895" w14:textId="77777777">
            <w:trPr>
              <w:jc w:val="center"/>
            </w:trPr>
            <w:tc>
              <w:tcPr>
                <w:tcW w:w="5112" w:type="dxa"/>
                <w:shd w:val="clear" w:color="auto" w:fill="FFF2CB"/>
                <w:vAlign w:val="center"/>
              </w:tcPr>
              <w:p w14:paraId="36B385A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01C3F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Granted U.S. patent</w:t>
                </w:r>
              </w:p>
            </w:tc>
          </w:tr>
          <w:tr w:rsidR="000E2BB3" w14:paraId="1148D96D" w14:textId="77777777">
            <w:trPr>
              <w:jc w:val="center"/>
            </w:trPr>
            <w:tc>
              <w:tcPr>
                <w:tcW w:w="5112" w:type="dxa"/>
                <w:shd w:val="clear" w:color="auto" w:fill="FFF2CB"/>
                <w:vAlign w:val="center"/>
              </w:tcPr>
              <w:p w14:paraId="7A5DA88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617FC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Design, not evaluation</w:t>
                </w:r>
              </w:p>
            </w:tc>
          </w:tr>
          <w:tr w:rsidR="000E2BB3" w14:paraId="61F64DDB" w14:textId="77777777">
            <w:trPr>
              <w:jc w:val="center"/>
            </w:trPr>
            <w:tc>
              <w:tcPr>
                <w:tcW w:w="5112" w:type="dxa"/>
                <w:shd w:val="clear" w:color="auto" w:fill="FFF2CB"/>
                <w:vAlign w:val="center"/>
              </w:tcPr>
              <w:p w14:paraId="32C9E59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678C3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4115BE40" w14:textId="77777777" w:rsidR="000E2BB3" w:rsidRDefault="000E2BB3">
          <w:pPr>
            <w:rPr>
              <w:rFonts w:ascii="Times New Roman" w:eastAsia="Times New Roman" w:hAnsi="Times New Roman" w:cs="Times New Roman"/>
            </w:rPr>
          </w:pPr>
        </w:p>
        <w:p w14:paraId="7A30621B"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6A6CE47" w14:textId="77777777">
            <w:trPr>
              <w:jc w:val="center"/>
            </w:trPr>
            <w:tc>
              <w:tcPr>
                <w:tcW w:w="5112" w:type="dxa"/>
                <w:shd w:val="clear" w:color="auto" w:fill="FFF2CB"/>
                <w:vAlign w:val="center"/>
              </w:tcPr>
              <w:p w14:paraId="2D30A33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DF3378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Identification and classification of sensitive information in data catalog objects (US 12,038,948 B2); G. S. Raghavan, S. K. Murthy, H. Madhusudhan (Oracle); 2024</w:t>
                </w:r>
              </w:p>
            </w:tc>
          </w:tr>
          <w:tr w:rsidR="000E2BB3" w14:paraId="0F922E3F" w14:textId="77777777">
            <w:trPr>
              <w:jc w:val="center"/>
            </w:trPr>
            <w:tc>
              <w:tcPr>
                <w:tcW w:w="5112" w:type="dxa"/>
                <w:shd w:val="clear" w:color="auto" w:fill="FFF2CB"/>
                <w:vAlign w:val="center"/>
              </w:tcPr>
              <w:p w14:paraId="38443A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C77EB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w:t>
                </w:r>
              </w:p>
            </w:tc>
          </w:tr>
          <w:tr w:rsidR="000E2BB3" w14:paraId="74537DDD" w14:textId="77777777">
            <w:trPr>
              <w:jc w:val="center"/>
            </w:trPr>
            <w:tc>
              <w:tcPr>
                <w:tcW w:w="5112" w:type="dxa"/>
                <w:shd w:val="clear" w:color="auto" w:fill="FFF2CB"/>
                <w:vAlign w:val="center"/>
              </w:tcPr>
              <w:p w14:paraId="7604E8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564BA8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0D12A3F" w14:textId="77777777">
            <w:trPr>
              <w:jc w:val="center"/>
            </w:trPr>
            <w:tc>
              <w:tcPr>
                <w:tcW w:w="5112" w:type="dxa"/>
                <w:shd w:val="clear" w:color="auto" w:fill="FFF2CB"/>
                <w:vAlign w:val="center"/>
              </w:tcPr>
              <w:p w14:paraId="42107E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DCEC7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Granted U.S. patent</w:t>
                </w:r>
              </w:p>
            </w:tc>
          </w:tr>
          <w:tr w:rsidR="000E2BB3" w14:paraId="45C9900D" w14:textId="77777777">
            <w:trPr>
              <w:jc w:val="center"/>
            </w:trPr>
            <w:tc>
              <w:tcPr>
                <w:tcW w:w="5112" w:type="dxa"/>
                <w:shd w:val="clear" w:color="auto" w:fill="FFF2CB"/>
                <w:vAlign w:val="center"/>
              </w:tcPr>
              <w:p w14:paraId="034EA0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A706B1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claims; no accuracy data</w:t>
                </w:r>
              </w:p>
            </w:tc>
          </w:tr>
          <w:tr w:rsidR="000E2BB3" w14:paraId="64BED0EF" w14:textId="77777777">
            <w:trPr>
              <w:jc w:val="center"/>
            </w:trPr>
            <w:tc>
              <w:tcPr>
                <w:tcW w:w="5112" w:type="dxa"/>
                <w:shd w:val="clear" w:color="auto" w:fill="FFF2CB"/>
                <w:vAlign w:val="center"/>
              </w:tcPr>
              <w:p w14:paraId="60A817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BA49A4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7623D70" w14:textId="77777777" w:rsidR="000E2BB3" w:rsidRDefault="000E2BB3">
          <w:pPr>
            <w:rPr>
              <w:rFonts w:ascii="Times New Roman" w:eastAsia="Times New Roman" w:hAnsi="Times New Roman" w:cs="Times New Roman"/>
            </w:rPr>
          </w:pPr>
        </w:p>
        <w:p w14:paraId="5EDBB8A5"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C9FBA24" w14:textId="77777777">
            <w:trPr>
              <w:jc w:val="center"/>
            </w:trPr>
            <w:tc>
              <w:tcPr>
                <w:tcW w:w="5112" w:type="dxa"/>
                <w:shd w:val="clear" w:color="auto" w:fill="FFF2CB"/>
                <w:vAlign w:val="center"/>
              </w:tcPr>
              <w:p w14:paraId="2E476C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512C8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 classification of data sensitivity through machine learning (US 11,809,980 B1); V. Radhakrishnan (Intuit); 2023</w:t>
                </w:r>
              </w:p>
            </w:tc>
          </w:tr>
          <w:tr w:rsidR="000E2BB3" w14:paraId="2D5D7182" w14:textId="77777777">
            <w:trPr>
              <w:jc w:val="center"/>
            </w:trPr>
            <w:tc>
              <w:tcPr>
                <w:tcW w:w="5112" w:type="dxa"/>
                <w:shd w:val="clear" w:color="auto" w:fill="FFF2CB"/>
                <w:vAlign w:val="center"/>
              </w:tcPr>
              <w:p w14:paraId="56B4C7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066A88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w:t>
                </w:r>
              </w:p>
            </w:tc>
          </w:tr>
          <w:tr w:rsidR="000E2BB3" w14:paraId="153EFFAF" w14:textId="77777777">
            <w:trPr>
              <w:jc w:val="center"/>
            </w:trPr>
            <w:tc>
              <w:tcPr>
                <w:tcW w:w="5112" w:type="dxa"/>
                <w:shd w:val="clear" w:color="auto" w:fill="FFF2CB"/>
                <w:vAlign w:val="center"/>
              </w:tcPr>
              <w:p w14:paraId="74D84F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97F57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995FB62" w14:textId="77777777">
            <w:trPr>
              <w:jc w:val="center"/>
            </w:trPr>
            <w:tc>
              <w:tcPr>
                <w:tcW w:w="5112" w:type="dxa"/>
                <w:shd w:val="clear" w:color="auto" w:fill="FFF2CB"/>
                <w:vAlign w:val="center"/>
              </w:tcPr>
              <w:p w14:paraId="2CE39C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33059E4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Granted U.S. patent</w:t>
                </w:r>
              </w:p>
            </w:tc>
          </w:tr>
          <w:tr w:rsidR="000E2BB3" w14:paraId="1BF96DEA" w14:textId="77777777">
            <w:trPr>
              <w:jc w:val="center"/>
            </w:trPr>
            <w:tc>
              <w:tcPr>
                <w:tcW w:w="5112" w:type="dxa"/>
                <w:shd w:val="clear" w:color="auto" w:fill="FFF2CB"/>
                <w:vAlign w:val="center"/>
              </w:tcPr>
              <w:p w14:paraId="09D9C6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2A200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Claims only</w:t>
                </w:r>
              </w:p>
            </w:tc>
          </w:tr>
          <w:tr w:rsidR="000E2BB3" w14:paraId="225923B2" w14:textId="77777777">
            <w:trPr>
              <w:jc w:val="center"/>
            </w:trPr>
            <w:tc>
              <w:tcPr>
                <w:tcW w:w="5112" w:type="dxa"/>
                <w:shd w:val="clear" w:color="auto" w:fill="FFF2CB"/>
                <w:vAlign w:val="center"/>
              </w:tcPr>
              <w:p w14:paraId="4AFA6D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453EA8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0BB37A8" w14:textId="77777777" w:rsidR="000E2BB3" w:rsidRDefault="000E2BB3">
          <w:pPr>
            <w:rPr>
              <w:rFonts w:ascii="Times New Roman" w:eastAsia="Times New Roman" w:hAnsi="Times New Roman" w:cs="Times New Roman"/>
            </w:rPr>
          </w:pPr>
        </w:p>
        <w:p w14:paraId="395319A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28ECD3B" w14:textId="77777777">
            <w:trPr>
              <w:jc w:val="center"/>
            </w:trPr>
            <w:tc>
              <w:tcPr>
                <w:tcW w:w="5112" w:type="dxa"/>
                <w:shd w:val="clear" w:color="auto" w:fill="FFF2CB"/>
                <w:vAlign w:val="center"/>
              </w:tcPr>
              <w:p w14:paraId="440AD0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DF4C7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Information Protection and Electronic Documents Act, S.C. 2000, c. 5; Government of Canada; 2000 (current to 2026-09-30)</w:t>
                </w:r>
              </w:p>
            </w:tc>
          </w:tr>
          <w:tr w:rsidR="000E2BB3" w14:paraId="3A46C1E1" w14:textId="77777777">
            <w:trPr>
              <w:jc w:val="center"/>
            </w:trPr>
            <w:tc>
              <w:tcPr>
                <w:tcW w:w="5112" w:type="dxa"/>
                <w:shd w:val="clear" w:color="auto" w:fill="FFF2CB"/>
                <w:vAlign w:val="center"/>
              </w:tcPr>
              <w:p w14:paraId="1B643EC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FCA2DA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Statute (code)</w:t>
                </w:r>
              </w:p>
            </w:tc>
          </w:tr>
          <w:tr w:rsidR="000E2BB3" w14:paraId="35708611" w14:textId="77777777">
            <w:trPr>
              <w:jc w:val="center"/>
            </w:trPr>
            <w:tc>
              <w:tcPr>
                <w:tcW w:w="5112" w:type="dxa"/>
                <w:shd w:val="clear" w:color="auto" w:fill="FFF2CB"/>
                <w:vAlign w:val="center"/>
              </w:tcPr>
              <w:p w14:paraId="4788969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E065E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3DEA1F6" w14:textId="77777777">
            <w:trPr>
              <w:jc w:val="center"/>
            </w:trPr>
            <w:tc>
              <w:tcPr>
                <w:tcW w:w="5112" w:type="dxa"/>
                <w:shd w:val="clear" w:color="auto" w:fill="FFF2CB"/>
                <w:vAlign w:val="center"/>
              </w:tcPr>
              <w:p w14:paraId="38D4039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89B2B7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Binding federal law</w:t>
                </w:r>
              </w:p>
            </w:tc>
          </w:tr>
          <w:tr w:rsidR="000E2BB3" w14:paraId="67A23032" w14:textId="77777777">
            <w:trPr>
              <w:jc w:val="center"/>
            </w:trPr>
            <w:tc>
              <w:tcPr>
                <w:tcW w:w="5112" w:type="dxa"/>
                <w:shd w:val="clear" w:color="auto" w:fill="FFF2CB"/>
                <w:vAlign w:val="center"/>
              </w:tcPr>
              <w:p w14:paraId="7EF8234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06E04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May be replaced by Bill C-36</w:t>
                </w:r>
              </w:p>
            </w:tc>
          </w:tr>
          <w:tr w:rsidR="000E2BB3" w14:paraId="363A2537" w14:textId="77777777">
            <w:trPr>
              <w:jc w:val="center"/>
            </w:trPr>
            <w:tc>
              <w:tcPr>
                <w:tcW w:w="5112" w:type="dxa"/>
                <w:shd w:val="clear" w:color="auto" w:fill="FFF2CB"/>
                <w:vAlign w:val="center"/>
              </w:tcPr>
              <w:p w14:paraId="541FDAC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51A1F9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FB28E83" w14:textId="77777777" w:rsidR="000E2BB3" w:rsidRDefault="000E2BB3">
          <w:pPr>
            <w:rPr>
              <w:rFonts w:ascii="Times New Roman" w:eastAsia="Times New Roman" w:hAnsi="Times New Roman" w:cs="Times New Roman"/>
            </w:rPr>
          </w:pPr>
        </w:p>
        <w:p w14:paraId="3012282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1227030" w14:textId="77777777">
            <w:trPr>
              <w:jc w:val="center"/>
            </w:trPr>
            <w:tc>
              <w:tcPr>
                <w:tcW w:w="5112" w:type="dxa"/>
                <w:shd w:val="clear" w:color="auto" w:fill="FFF2CB"/>
                <w:vAlign w:val="center"/>
              </w:tcPr>
              <w:p w14:paraId="439A737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74BC71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Breach of Security Safeguards Regulations, SOR/2018-64; Government of Canada; 2018</w:t>
                </w:r>
              </w:p>
            </w:tc>
          </w:tr>
          <w:tr w:rsidR="000E2BB3" w14:paraId="6F758AC9" w14:textId="77777777">
            <w:trPr>
              <w:jc w:val="center"/>
            </w:trPr>
            <w:tc>
              <w:tcPr>
                <w:tcW w:w="5112" w:type="dxa"/>
                <w:shd w:val="clear" w:color="auto" w:fill="FFF2CB"/>
                <w:vAlign w:val="center"/>
              </w:tcPr>
              <w:p w14:paraId="3136B44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AB010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Regulation (code)</w:t>
                </w:r>
              </w:p>
            </w:tc>
          </w:tr>
          <w:tr w:rsidR="000E2BB3" w14:paraId="22AE0B4F" w14:textId="77777777">
            <w:trPr>
              <w:jc w:val="center"/>
            </w:trPr>
            <w:tc>
              <w:tcPr>
                <w:tcW w:w="5112" w:type="dxa"/>
                <w:shd w:val="clear" w:color="auto" w:fill="FFF2CB"/>
                <w:vAlign w:val="center"/>
              </w:tcPr>
              <w:p w14:paraId="0B5A392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F4E87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10AD03F" w14:textId="77777777">
            <w:trPr>
              <w:jc w:val="center"/>
            </w:trPr>
            <w:tc>
              <w:tcPr>
                <w:tcW w:w="5112" w:type="dxa"/>
                <w:shd w:val="clear" w:color="auto" w:fill="FFF2CB"/>
                <w:vAlign w:val="center"/>
              </w:tcPr>
              <w:p w14:paraId="09F49DB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852F1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Binding regulation</w:t>
                </w:r>
              </w:p>
            </w:tc>
          </w:tr>
          <w:tr w:rsidR="000E2BB3" w14:paraId="50859C07" w14:textId="77777777">
            <w:trPr>
              <w:jc w:val="center"/>
            </w:trPr>
            <w:tc>
              <w:tcPr>
                <w:tcW w:w="5112" w:type="dxa"/>
                <w:shd w:val="clear" w:color="auto" w:fill="FFF2CB"/>
                <w:vAlign w:val="center"/>
              </w:tcPr>
              <w:p w14:paraId="46E3E9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06FEA8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Narrow scope (breach records)</w:t>
                </w:r>
              </w:p>
            </w:tc>
          </w:tr>
          <w:tr w:rsidR="000E2BB3" w14:paraId="3BA5F655" w14:textId="77777777">
            <w:trPr>
              <w:jc w:val="center"/>
            </w:trPr>
            <w:tc>
              <w:tcPr>
                <w:tcW w:w="5112" w:type="dxa"/>
                <w:shd w:val="clear" w:color="auto" w:fill="FFF2CB"/>
                <w:vAlign w:val="center"/>
              </w:tcPr>
              <w:p w14:paraId="30BFA7F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39B660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8E7E1E9" w14:textId="77777777" w:rsidR="000E2BB3" w:rsidRDefault="000E2BB3">
          <w:pPr>
            <w:rPr>
              <w:rFonts w:ascii="Times New Roman" w:eastAsia="Times New Roman" w:hAnsi="Times New Roman" w:cs="Times New Roman"/>
            </w:rPr>
          </w:pPr>
        </w:p>
        <w:p w14:paraId="22D288FA"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C75F74D" w14:textId="77777777">
            <w:trPr>
              <w:jc w:val="center"/>
            </w:trPr>
            <w:tc>
              <w:tcPr>
                <w:tcW w:w="5112" w:type="dxa"/>
                <w:shd w:val="clear" w:color="auto" w:fill="FFF2CB"/>
                <w:vAlign w:val="center"/>
              </w:tcPr>
              <w:p w14:paraId="01DDB6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1BA20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Bill C-36 (45-1), Protecting Privacy and Consumer Data Act; Parliament of Canada; 2026</w:t>
                </w:r>
              </w:p>
            </w:tc>
          </w:tr>
          <w:tr w:rsidR="000E2BB3" w14:paraId="038E793D" w14:textId="77777777">
            <w:trPr>
              <w:jc w:val="center"/>
            </w:trPr>
            <w:tc>
              <w:tcPr>
                <w:tcW w:w="5112" w:type="dxa"/>
                <w:shd w:val="clear" w:color="auto" w:fill="FFF2CB"/>
                <w:vAlign w:val="center"/>
              </w:tcPr>
              <w:p w14:paraId="649D20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B017F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Bill</w:t>
                </w:r>
              </w:p>
            </w:tc>
          </w:tr>
          <w:tr w:rsidR="000E2BB3" w14:paraId="499B4A0A" w14:textId="77777777">
            <w:trPr>
              <w:jc w:val="center"/>
            </w:trPr>
            <w:tc>
              <w:tcPr>
                <w:tcW w:w="5112" w:type="dxa"/>
                <w:shd w:val="clear" w:color="auto" w:fill="FFF2CB"/>
                <w:vAlign w:val="center"/>
              </w:tcPr>
              <w:p w14:paraId="0BCDCB2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Relevance (Direct, partial, low)</w:t>
                </w:r>
              </w:p>
            </w:tc>
            <w:tc>
              <w:tcPr>
                <w:tcW w:w="5112" w:type="dxa"/>
                <w:vAlign w:val="center"/>
              </w:tcPr>
              <w:p w14:paraId="70F6DD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D3D4BAC" w14:textId="77777777">
            <w:trPr>
              <w:jc w:val="center"/>
            </w:trPr>
            <w:tc>
              <w:tcPr>
                <w:tcW w:w="5112" w:type="dxa"/>
                <w:shd w:val="clear" w:color="auto" w:fill="FFF2CB"/>
                <w:vAlign w:val="center"/>
              </w:tcPr>
              <w:p w14:paraId="65744E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A00014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parliamentary record</w:t>
                </w:r>
              </w:p>
            </w:tc>
          </w:tr>
          <w:tr w:rsidR="000E2BB3" w14:paraId="41F14DE3" w14:textId="77777777">
            <w:trPr>
              <w:jc w:val="center"/>
            </w:trPr>
            <w:tc>
              <w:tcPr>
                <w:tcW w:w="5112" w:type="dxa"/>
                <w:shd w:val="clear" w:color="auto" w:fill="FFF2CB"/>
                <w:vAlign w:val="center"/>
              </w:tcPr>
              <w:p w14:paraId="238CC1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9DF98A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law; text may change</w:t>
                </w:r>
              </w:p>
            </w:tc>
          </w:tr>
          <w:tr w:rsidR="000E2BB3" w14:paraId="3002DB5D" w14:textId="77777777">
            <w:trPr>
              <w:jc w:val="center"/>
            </w:trPr>
            <w:tc>
              <w:tcPr>
                <w:tcW w:w="5112" w:type="dxa"/>
                <w:shd w:val="clear" w:color="auto" w:fill="FFF2CB"/>
                <w:vAlign w:val="center"/>
              </w:tcPr>
              <w:p w14:paraId="6145CE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4E1FAB7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8A64969" w14:textId="77777777" w:rsidR="000E2BB3" w:rsidRDefault="000E2BB3">
          <w:pPr>
            <w:rPr>
              <w:rFonts w:ascii="Times New Roman" w:eastAsia="Times New Roman" w:hAnsi="Times New Roman" w:cs="Times New Roman"/>
            </w:rPr>
          </w:pPr>
        </w:p>
        <w:p w14:paraId="1E5B3E0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E86AB4F" w14:textId="77777777">
            <w:trPr>
              <w:jc w:val="center"/>
            </w:trPr>
            <w:tc>
              <w:tcPr>
                <w:tcW w:w="5112" w:type="dxa"/>
                <w:shd w:val="clear" w:color="auto" w:fill="FFF2CB"/>
                <w:vAlign w:val="center"/>
              </w:tcPr>
              <w:p w14:paraId="2D684AC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5093D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Guidelines for obtaining meaningful consent; Office of the Privacy Commissioner of Canada; 2018 (modified 2025)</w:t>
                </w:r>
              </w:p>
            </w:tc>
          </w:tr>
          <w:tr w:rsidR="000E2BB3" w14:paraId="47E6F60C" w14:textId="77777777">
            <w:trPr>
              <w:jc w:val="center"/>
            </w:trPr>
            <w:tc>
              <w:tcPr>
                <w:tcW w:w="5112" w:type="dxa"/>
                <w:shd w:val="clear" w:color="auto" w:fill="FFF2CB"/>
                <w:vAlign w:val="center"/>
              </w:tcPr>
              <w:p w14:paraId="2F66C35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46027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r>
          <w:tr w:rsidR="000E2BB3" w14:paraId="40A2D604" w14:textId="77777777">
            <w:trPr>
              <w:jc w:val="center"/>
            </w:trPr>
            <w:tc>
              <w:tcPr>
                <w:tcW w:w="5112" w:type="dxa"/>
                <w:shd w:val="clear" w:color="auto" w:fill="FFF2CB"/>
                <w:vAlign w:val="center"/>
              </w:tcPr>
              <w:p w14:paraId="027A084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E9B233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1514659B" w14:textId="77777777">
            <w:trPr>
              <w:jc w:val="center"/>
            </w:trPr>
            <w:tc>
              <w:tcPr>
                <w:tcW w:w="5112" w:type="dxa"/>
                <w:shd w:val="clear" w:color="auto" w:fill="FFF2CB"/>
                <w:vAlign w:val="center"/>
              </w:tcPr>
              <w:p w14:paraId="41F92A8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EE2279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Federal privacy regulator</w:t>
                </w:r>
              </w:p>
            </w:tc>
          </w:tr>
          <w:tr w:rsidR="000E2BB3" w14:paraId="094825DD" w14:textId="77777777">
            <w:trPr>
              <w:jc w:val="center"/>
            </w:trPr>
            <w:tc>
              <w:tcPr>
                <w:tcW w:w="5112" w:type="dxa"/>
                <w:shd w:val="clear" w:color="auto" w:fill="FFF2CB"/>
                <w:vAlign w:val="center"/>
              </w:tcPr>
              <w:p w14:paraId="4A8A97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1EF02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Non-binding interpretation</w:t>
                </w:r>
              </w:p>
            </w:tc>
          </w:tr>
          <w:tr w:rsidR="000E2BB3" w14:paraId="54C442C9" w14:textId="77777777">
            <w:trPr>
              <w:jc w:val="center"/>
            </w:trPr>
            <w:tc>
              <w:tcPr>
                <w:tcW w:w="5112" w:type="dxa"/>
                <w:shd w:val="clear" w:color="auto" w:fill="FFF2CB"/>
                <w:vAlign w:val="center"/>
              </w:tcPr>
              <w:p w14:paraId="2FE13A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E94927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8430B97" w14:textId="77777777" w:rsidR="000E2BB3" w:rsidRDefault="000E2BB3">
          <w:pPr>
            <w:rPr>
              <w:rFonts w:ascii="Times New Roman" w:eastAsia="Times New Roman" w:hAnsi="Times New Roman" w:cs="Times New Roman"/>
            </w:rPr>
          </w:pPr>
        </w:p>
        <w:p w14:paraId="0F2048EB"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388B813" w14:textId="77777777">
            <w:trPr>
              <w:jc w:val="center"/>
            </w:trPr>
            <w:tc>
              <w:tcPr>
                <w:tcW w:w="5112" w:type="dxa"/>
                <w:shd w:val="clear" w:color="auto" w:fill="FFF2CB"/>
                <w:vAlign w:val="center"/>
              </w:tcPr>
              <w:p w14:paraId="649A27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8EB3C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Interpretation bulletin: Sensitive information; Office of the Privacy Commissioner of Canada; 2022</w:t>
                </w:r>
              </w:p>
            </w:tc>
          </w:tr>
          <w:tr w:rsidR="000E2BB3" w14:paraId="1C94E627" w14:textId="77777777">
            <w:trPr>
              <w:jc w:val="center"/>
            </w:trPr>
            <w:tc>
              <w:tcPr>
                <w:tcW w:w="5112" w:type="dxa"/>
                <w:shd w:val="clear" w:color="auto" w:fill="FFF2CB"/>
                <w:vAlign w:val="center"/>
              </w:tcPr>
              <w:p w14:paraId="6F0A99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04BB32B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r>
          <w:tr w:rsidR="000E2BB3" w14:paraId="4EBCC74D" w14:textId="77777777">
            <w:trPr>
              <w:jc w:val="center"/>
            </w:trPr>
            <w:tc>
              <w:tcPr>
                <w:tcW w:w="5112" w:type="dxa"/>
                <w:shd w:val="clear" w:color="auto" w:fill="FFF2CB"/>
                <w:vAlign w:val="center"/>
              </w:tcPr>
              <w:p w14:paraId="174E39F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F1188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02CF8370" w14:textId="77777777">
            <w:trPr>
              <w:jc w:val="center"/>
            </w:trPr>
            <w:tc>
              <w:tcPr>
                <w:tcW w:w="5112" w:type="dxa"/>
                <w:shd w:val="clear" w:color="auto" w:fill="FFF2CB"/>
                <w:vAlign w:val="center"/>
              </w:tcPr>
              <w:p w14:paraId="3B36AB3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B53397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Federal privacy regulator</w:t>
                </w:r>
              </w:p>
            </w:tc>
          </w:tr>
          <w:tr w:rsidR="000E2BB3" w14:paraId="6590170F" w14:textId="77777777">
            <w:trPr>
              <w:jc w:val="center"/>
            </w:trPr>
            <w:tc>
              <w:tcPr>
                <w:tcW w:w="5112" w:type="dxa"/>
                <w:shd w:val="clear" w:color="auto" w:fill="FFF2CB"/>
                <w:vAlign w:val="center"/>
              </w:tcPr>
              <w:p w14:paraId="6DF21B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C2654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Non-binding interpretation</w:t>
                </w:r>
              </w:p>
            </w:tc>
          </w:tr>
          <w:tr w:rsidR="000E2BB3" w14:paraId="169DB715" w14:textId="77777777">
            <w:trPr>
              <w:jc w:val="center"/>
            </w:trPr>
            <w:tc>
              <w:tcPr>
                <w:tcW w:w="5112" w:type="dxa"/>
                <w:shd w:val="clear" w:color="auto" w:fill="FFF2CB"/>
                <w:vAlign w:val="center"/>
              </w:tcPr>
              <w:p w14:paraId="63D18B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8E224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B856FFB" w14:textId="77777777" w:rsidR="000E2BB3" w:rsidRDefault="000E2BB3">
          <w:pPr>
            <w:rPr>
              <w:rFonts w:ascii="Times New Roman" w:eastAsia="Times New Roman" w:hAnsi="Times New Roman" w:cs="Times New Roman"/>
            </w:rPr>
          </w:pPr>
        </w:p>
        <w:p w14:paraId="0925B16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79DCB03" w14:textId="77777777">
            <w:trPr>
              <w:jc w:val="center"/>
            </w:trPr>
            <w:tc>
              <w:tcPr>
                <w:tcW w:w="5112" w:type="dxa"/>
                <w:shd w:val="clear" w:color="auto" w:fill="FFF2CB"/>
                <w:vAlign w:val="center"/>
              </w:tcPr>
              <w:p w14:paraId="0612646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0AA2838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PIPEDA Findings #2020-005 (Desjardins); Office of the Privacy Commissioner of Canada; 2020</w:t>
                </w:r>
              </w:p>
            </w:tc>
          </w:tr>
          <w:tr w:rsidR="000E2BB3" w14:paraId="541BB004" w14:textId="77777777">
            <w:trPr>
              <w:jc w:val="center"/>
            </w:trPr>
            <w:tc>
              <w:tcPr>
                <w:tcW w:w="5112" w:type="dxa"/>
                <w:shd w:val="clear" w:color="auto" w:fill="FFF2CB"/>
                <w:vAlign w:val="center"/>
              </w:tcPr>
              <w:p w14:paraId="1B81DF3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05C68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report</w:t>
                </w:r>
              </w:p>
            </w:tc>
          </w:tr>
          <w:tr w:rsidR="000E2BB3" w14:paraId="08CDC133" w14:textId="77777777">
            <w:trPr>
              <w:jc w:val="center"/>
            </w:trPr>
            <w:tc>
              <w:tcPr>
                <w:tcW w:w="5112" w:type="dxa"/>
                <w:shd w:val="clear" w:color="auto" w:fill="FFF2CB"/>
                <w:vAlign w:val="center"/>
              </w:tcPr>
              <w:p w14:paraId="453C5E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7F68EB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1BFF2FCE" w14:textId="77777777">
            <w:trPr>
              <w:jc w:val="center"/>
            </w:trPr>
            <w:tc>
              <w:tcPr>
                <w:tcW w:w="5112" w:type="dxa"/>
                <w:shd w:val="clear" w:color="auto" w:fill="FFF2CB"/>
                <w:vAlign w:val="center"/>
              </w:tcPr>
              <w:p w14:paraId="587976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6BB56D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Formal investigation finding</w:t>
                </w:r>
              </w:p>
            </w:tc>
          </w:tr>
          <w:tr w:rsidR="000E2BB3" w14:paraId="0E327458" w14:textId="77777777">
            <w:trPr>
              <w:jc w:val="center"/>
            </w:trPr>
            <w:tc>
              <w:tcPr>
                <w:tcW w:w="5112" w:type="dxa"/>
                <w:shd w:val="clear" w:color="auto" w:fill="FFF2CB"/>
                <w:vAlign w:val="center"/>
              </w:tcPr>
              <w:p w14:paraId="27D9A01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2DE88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 case</w:t>
                </w:r>
              </w:p>
            </w:tc>
          </w:tr>
          <w:tr w:rsidR="000E2BB3" w14:paraId="77AA749D" w14:textId="77777777">
            <w:trPr>
              <w:jc w:val="center"/>
            </w:trPr>
            <w:tc>
              <w:tcPr>
                <w:tcW w:w="5112" w:type="dxa"/>
                <w:shd w:val="clear" w:color="auto" w:fill="FFF2CB"/>
                <w:vAlign w:val="center"/>
              </w:tcPr>
              <w:p w14:paraId="40A607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C8C91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148A23F" w14:textId="77777777" w:rsidR="000E2BB3" w:rsidRDefault="000E2BB3">
          <w:pPr>
            <w:rPr>
              <w:rFonts w:ascii="Times New Roman" w:eastAsia="Times New Roman" w:hAnsi="Times New Roman" w:cs="Times New Roman"/>
            </w:rPr>
          </w:pPr>
        </w:p>
        <w:p w14:paraId="3A85246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F95026B" w14:textId="77777777">
            <w:trPr>
              <w:jc w:val="center"/>
            </w:trPr>
            <w:tc>
              <w:tcPr>
                <w:tcW w:w="5112" w:type="dxa"/>
                <w:shd w:val="clear" w:color="auto" w:fill="FFF2CB"/>
                <w:vAlign w:val="center"/>
              </w:tcPr>
              <w:p w14:paraId="20D345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4280D5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Guideline B-13: Technology and cyber risk management; OSFI; 2022</w:t>
                </w:r>
              </w:p>
            </w:tc>
          </w:tr>
          <w:tr w:rsidR="000E2BB3" w14:paraId="70FC9DA9" w14:textId="77777777">
            <w:trPr>
              <w:jc w:val="center"/>
            </w:trPr>
            <w:tc>
              <w:tcPr>
                <w:tcW w:w="5112" w:type="dxa"/>
                <w:shd w:val="clear" w:color="auto" w:fill="FFF2CB"/>
                <w:vAlign w:val="center"/>
              </w:tcPr>
              <w:p w14:paraId="428AC31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06A81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guideline</w:t>
                </w:r>
              </w:p>
            </w:tc>
          </w:tr>
          <w:tr w:rsidR="000E2BB3" w14:paraId="4FA238D5" w14:textId="77777777">
            <w:trPr>
              <w:jc w:val="center"/>
            </w:trPr>
            <w:tc>
              <w:tcPr>
                <w:tcW w:w="5112" w:type="dxa"/>
                <w:shd w:val="clear" w:color="auto" w:fill="FFF2CB"/>
                <w:vAlign w:val="center"/>
              </w:tcPr>
              <w:p w14:paraId="26394C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F4686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4C32FFAA" w14:textId="77777777">
            <w:trPr>
              <w:jc w:val="center"/>
            </w:trPr>
            <w:tc>
              <w:tcPr>
                <w:tcW w:w="5112" w:type="dxa"/>
                <w:shd w:val="clear" w:color="auto" w:fill="FFF2CB"/>
                <w:vAlign w:val="center"/>
              </w:tcPr>
              <w:p w14:paraId="1D6B31E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4661B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Prudential regulator for federally regulated financial institutions</w:t>
                </w:r>
              </w:p>
            </w:tc>
          </w:tr>
          <w:tr w:rsidR="000E2BB3" w14:paraId="654B4406" w14:textId="77777777">
            <w:trPr>
              <w:jc w:val="center"/>
            </w:trPr>
            <w:tc>
              <w:tcPr>
                <w:tcW w:w="5112" w:type="dxa"/>
                <w:shd w:val="clear" w:color="auto" w:fill="FFF2CB"/>
                <w:vAlign w:val="center"/>
              </w:tcPr>
              <w:p w14:paraId="5B8705A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5F0E34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Principles-based; no tooling detail</w:t>
                </w:r>
              </w:p>
            </w:tc>
          </w:tr>
          <w:tr w:rsidR="000E2BB3" w14:paraId="03AF24D9" w14:textId="77777777">
            <w:trPr>
              <w:jc w:val="center"/>
            </w:trPr>
            <w:tc>
              <w:tcPr>
                <w:tcW w:w="5112" w:type="dxa"/>
                <w:shd w:val="clear" w:color="auto" w:fill="FFF2CB"/>
                <w:vAlign w:val="center"/>
              </w:tcPr>
              <w:p w14:paraId="137D8D5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2A449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1254C3B" w14:textId="77777777" w:rsidR="000E2BB3" w:rsidRDefault="000E2BB3">
          <w:pPr>
            <w:rPr>
              <w:rFonts w:ascii="Times New Roman" w:eastAsia="Times New Roman" w:hAnsi="Times New Roman" w:cs="Times New Roman"/>
            </w:rPr>
          </w:pPr>
        </w:p>
        <w:p w14:paraId="3EEA648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59: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0280F6B8" w14:textId="77777777">
            <w:trPr>
              <w:jc w:val="center"/>
            </w:trPr>
            <w:tc>
              <w:tcPr>
                <w:tcW w:w="5112" w:type="dxa"/>
                <w:shd w:val="clear" w:color="auto" w:fill="FFF2CB"/>
                <w:vAlign w:val="center"/>
              </w:tcPr>
              <w:p w14:paraId="411E60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55900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Guideline E-23: Model risk management (2027); OSFI; 2025</w:t>
                </w:r>
              </w:p>
            </w:tc>
          </w:tr>
          <w:tr w:rsidR="000E2BB3" w14:paraId="70627DDF" w14:textId="77777777">
            <w:trPr>
              <w:jc w:val="center"/>
            </w:trPr>
            <w:tc>
              <w:tcPr>
                <w:tcW w:w="5112" w:type="dxa"/>
                <w:shd w:val="clear" w:color="auto" w:fill="FFF2CB"/>
                <w:vAlign w:val="center"/>
              </w:tcPr>
              <w:p w14:paraId="2885AB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B0EC3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guideline</w:t>
                </w:r>
              </w:p>
            </w:tc>
          </w:tr>
          <w:tr w:rsidR="000E2BB3" w14:paraId="59F44F47" w14:textId="77777777">
            <w:trPr>
              <w:jc w:val="center"/>
            </w:trPr>
            <w:tc>
              <w:tcPr>
                <w:tcW w:w="5112" w:type="dxa"/>
                <w:shd w:val="clear" w:color="auto" w:fill="FFF2CB"/>
                <w:vAlign w:val="center"/>
              </w:tcPr>
              <w:p w14:paraId="0D83BC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1ED5C2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F9A0234" w14:textId="77777777">
            <w:trPr>
              <w:jc w:val="center"/>
            </w:trPr>
            <w:tc>
              <w:tcPr>
                <w:tcW w:w="5112" w:type="dxa"/>
                <w:shd w:val="clear" w:color="auto" w:fill="FFF2CB"/>
                <w:vAlign w:val="center"/>
              </w:tcPr>
              <w:p w14:paraId="0C92493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30F5E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Prudential regulator</w:t>
                </w:r>
              </w:p>
            </w:tc>
          </w:tr>
          <w:tr w:rsidR="000E2BB3" w14:paraId="4F8BAC4B" w14:textId="77777777">
            <w:trPr>
              <w:jc w:val="center"/>
            </w:trPr>
            <w:tc>
              <w:tcPr>
                <w:tcW w:w="5112" w:type="dxa"/>
                <w:shd w:val="clear" w:color="auto" w:fill="FFF2CB"/>
                <w:vAlign w:val="center"/>
              </w:tcPr>
              <w:p w14:paraId="3253814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89321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in force until May 2027</w:t>
                </w:r>
              </w:p>
            </w:tc>
          </w:tr>
          <w:tr w:rsidR="000E2BB3" w14:paraId="6C5C77FE" w14:textId="77777777">
            <w:trPr>
              <w:jc w:val="center"/>
            </w:trPr>
            <w:tc>
              <w:tcPr>
                <w:tcW w:w="5112" w:type="dxa"/>
                <w:shd w:val="clear" w:color="auto" w:fill="FFF2CB"/>
                <w:vAlign w:val="center"/>
              </w:tcPr>
              <w:p w14:paraId="3C5D9A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E05B7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32743FCA" w14:textId="77777777" w:rsidR="000E2BB3" w:rsidRDefault="000E2BB3">
          <w:pPr>
            <w:rPr>
              <w:rFonts w:ascii="Times New Roman" w:eastAsia="Times New Roman" w:hAnsi="Times New Roman" w:cs="Times New Roman"/>
            </w:rPr>
          </w:pPr>
        </w:p>
        <w:p w14:paraId="30BFED3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12D15F1" w14:textId="77777777">
            <w:trPr>
              <w:jc w:val="center"/>
            </w:trPr>
            <w:tc>
              <w:tcPr>
                <w:tcW w:w="5112" w:type="dxa"/>
                <w:shd w:val="clear" w:color="auto" w:fill="FFF2CB"/>
                <w:vAlign w:val="center"/>
              </w:tcPr>
              <w:p w14:paraId="4DFD3A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06BD8F3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Record keeping requirements for financial entities; FINTRAC; 2026</w:t>
                </w:r>
              </w:p>
            </w:tc>
          </w:tr>
          <w:tr w:rsidR="000E2BB3" w14:paraId="654C6490" w14:textId="77777777">
            <w:trPr>
              <w:jc w:val="center"/>
            </w:trPr>
            <w:tc>
              <w:tcPr>
                <w:tcW w:w="5112" w:type="dxa"/>
                <w:shd w:val="clear" w:color="auto" w:fill="FFF2CB"/>
                <w:vAlign w:val="center"/>
              </w:tcPr>
              <w:p w14:paraId="29AF7EE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CA4B1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r>
          <w:tr w:rsidR="000E2BB3" w14:paraId="38FC9D65" w14:textId="77777777">
            <w:trPr>
              <w:jc w:val="center"/>
            </w:trPr>
            <w:tc>
              <w:tcPr>
                <w:tcW w:w="5112" w:type="dxa"/>
                <w:shd w:val="clear" w:color="auto" w:fill="FFF2CB"/>
                <w:vAlign w:val="center"/>
              </w:tcPr>
              <w:p w14:paraId="3EBAD0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FE1EAE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0970C80F" w14:textId="77777777">
            <w:trPr>
              <w:jc w:val="center"/>
            </w:trPr>
            <w:tc>
              <w:tcPr>
                <w:tcW w:w="5112" w:type="dxa"/>
                <w:shd w:val="clear" w:color="auto" w:fill="FFF2CB"/>
                <w:vAlign w:val="center"/>
              </w:tcPr>
              <w:p w14:paraId="4E2EF5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A8CDFC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Anti-money-laundering regulator</w:t>
                </w:r>
              </w:p>
            </w:tc>
          </w:tr>
          <w:tr w:rsidR="000E2BB3" w14:paraId="7A2E6FD2" w14:textId="77777777">
            <w:trPr>
              <w:jc w:val="center"/>
            </w:trPr>
            <w:tc>
              <w:tcPr>
                <w:tcW w:w="5112" w:type="dxa"/>
                <w:shd w:val="clear" w:color="auto" w:fill="FFF2CB"/>
                <w:vAlign w:val="center"/>
              </w:tcPr>
              <w:p w14:paraId="46B78B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0A8061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Guidance pages change over time</w:t>
                </w:r>
              </w:p>
            </w:tc>
          </w:tr>
          <w:tr w:rsidR="000E2BB3" w14:paraId="154E2921" w14:textId="77777777">
            <w:trPr>
              <w:jc w:val="center"/>
            </w:trPr>
            <w:tc>
              <w:tcPr>
                <w:tcW w:w="5112" w:type="dxa"/>
                <w:shd w:val="clear" w:color="auto" w:fill="FFF2CB"/>
                <w:vAlign w:val="center"/>
              </w:tcPr>
              <w:p w14:paraId="6284C1A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A06E3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28C9A7F" w14:textId="77777777" w:rsidR="000E2BB3" w:rsidRDefault="000E2BB3">
          <w:pPr>
            <w:rPr>
              <w:rFonts w:ascii="Times New Roman" w:eastAsia="Times New Roman" w:hAnsi="Times New Roman" w:cs="Times New Roman"/>
            </w:rPr>
          </w:pPr>
        </w:p>
        <w:p w14:paraId="170FED3B"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D9B43D0" w14:textId="77777777">
            <w:trPr>
              <w:jc w:val="center"/>
            </w:trPr>
            <w:tc>
              <w:tcPr>
                <w:tcW w:w="5112" w:type="dxa"/>
                <w:shd w:val="clear" w:color="auto" w:fill="FFF2CB"/>
                <w:vAlign w:val="center"/>
              </w:tcPr>
              <w:p w14:paraId="590CA3E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4F8F35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Reporting large cash transactions to FINTRAC; FINTRAC; 2026</w:t>
                </w:r>
              </w:p>
            </w:tc>
          </w:tr>
          <w:tr w:rsidR="000E2BB3" w14:paraId="27CCCFCA" w14:textId="77777777">
            <w:trPr>
              <w:jc w:val="center"/>
            </w:trPr>
            <w:tc>
              <w:tcPr>
                <w:tcW w:w="5112" w:type="dxa"/>
                <w:shd w:val="clear" w:color="auto" w:fill="FFF2CB"/>
                <w:vAlign w:val="center"/>
              </w:tcPr>
              <w:p w14:paraId="788577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338DEE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r>
          <w:tr w:rsidR="000E2BB3" w14:paraId="4F97C23D" w14:textId="77777777">
            <w:trPr>
              <w:jc w:val="center"/>
            </w:trPr>
            <w:tc>
              <w:tcPr>
                <w:tcW w:w="5112" w:type="dxa"/>
                <w:shd w:val="clear" w:color="auto" w:fill="FFF2CB"/>
                <w:vAlign w:val="center"/>
              </w:tcPr>
              <w:p w14:paraId="774C39D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254F06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09D4F62" w14:textId="77777777">
            <w:trPr>
              <w:jc w:val="center"/>
            </w:trPr>
            <w:tc>
              <w:tcPr>
                <w:tcW w:w="5112" w:type="dxa"/>
                <w:shd w:val="clear" w:color="auto" w:fill="FFF2CB"/>
                <w:vAlign w:val="center"/>
              </w:tcPr>
              <w:p w14:paraId="0C036C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A6D5D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Anti-money-laundering regulator</w:t>
                </w:r>
              </w:p>
            </w:tc>
          </w:tr>
          <w:tr w:rsidR="000E2BB3" w14:paraId="64609621" w14:textId="77777777">
            <w:trPr>
              <w:jc w:val="center"/>
            </w:trPr>
            <w:tc>
              <w:tcPr>
                <w:tcW w:w="5112" w:type="dxa"/>
                <w:shd w:val="clear" w:color="auto" w:fill="FFF2CB"/>
                <w:vAlign w:val="center"/>
              </w:tcPr>
              <w:p w14:paraId="3DFB44F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B923DF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Guidance pages change over time</w:t>
                </w:r>
              </w:p>
            </w:tc>
          </w:tr>
          <w:tr w:rsidR="000E2BB3" w14:paraId="30F41AD8" w14:textId="77777777">
            <w:trPr>
              <w:jc w:val="center"/>
            </w:trPr>
            <w:tc>
              <w:tcPr>
                <w:tcW w:w="5112" w:type="dxa"/>
                <w:shd w:val="clear" w:color="auto" w:fill="FFF2CB"/>
                <w:vAlign w:val="center"/>
              </w:tcPr>
              <w:p w14:paraId="686C68F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2204E5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1FB6A118" w14:textId="77777777" w:rsidR="000E2BB3" w:rsidRDefault="000E2BB3">
          <w:pPr>
            <w:rPr>
              <w:rFonts w:ascii="Times New Roman" w:eastAsia="Times New Roman" w:hAnsi="Times New Roman" w:cs="Times New Roman"/>
            </w:rPr>
          </w:pPr>
        </w:p>
        <w:p w14:paraId="3C4EDA4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D13A7CF" w14:textId="77777777">
            <w:trPr>
              <w:jc w:val="center"/>
            </w:trPr>
            <w:tc>
              <w:tcPr>
                <w:tcW w:w="5112" w:type="dxa"/>
                <w:shd w:val="clear" w:color="auto" w:fill="FFF2CB"/>
                <w:vAlign w:val="center"/>
              </w:tcPr>
              <w:p w14:paraId="3818B75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73EBE3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ISO/IEC 38505-1:2026 Governance of data, Part 1; ISO/IEC; 2026</w:t>
                </w:r>
              </w:p>
            </w:tc>
          </w:tr>
          <w:tr w:rsidR="000E2BB3" w14:paraId="10727159" w14:textId="77777777">
            <w:trPr>
              <w:jc w:val="center"/>
            </w:trPr>
            <w:tc>
              <w:tcPr>
                <w:tcW w:w="5112" w:type="dxa"/>
                <w:shd w:val="clear" w:color="auto" w:fill="FFF2CB"/>
                <w:vAlign w:val="center"/>
              </w:tcPr>
              <w:p w14:paraId="66197E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B1C86F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w:t>
                </w:r>
              </w:p>
            </w:tc>
          </w:tr>
          <w:tr w:rsidR="000E2BB3" w14:paraId="72BAC85F" w14:textId="77777777">
            <w:trPr>
              <w:jc w:val="center"/>
            </w:trPr>
            <w:tc>
              <w:tcPr>
                <w:tcW w:w="5112" w:type="dxa"/>
                <w:shd w:val="clear" w:color="auto" w:fill="FFF2CB"/>
                <w:vAlign w:val="center"/>
              </w:tcPr>
              <w:p w14:paraId="11731F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87B06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54AD65A" w14:textId="77777777">
            <w:trPr>
              <w:jc w:val="center"/>
            </w:trPr>
            <w:tc>
              <w:tcPr>
                <w:tcW w:w="5112" w:type="dxa"/>
                <w:shd w:val="clear" w:color="auto" w:fill="FFF2CB"/>
                <w:vAlign w:val="center"/>
              </w:tcPr>
              <w:p w14:paraId="02A5DBF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FF3C1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 (2nd ed., replaces 2017)</w:t>
                </w:r>
              </w:p>
            </w:tc>
          </w:tr>
          <w:tr w:rsidR="000E2BB3" w14:paraId="37FD7ECE" w14:textId="77777777">
            <w:trPr>
              <w:jc w:val="center"/>
            </w:trPr>
            <w:tc>
              <w:tcPr>
                <w:tcW w:w="5112" w:type="dxa"/>
                <w:shd w:val="clear" w:color="auto" w:fill="FFF2CB"/>
                <w:vAlign w:val="center"/>
              </w:tcPr>
              <w:p w14:paraId="130E1A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F19B33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read at abstract level</w:t>
                </w:r>
              </w:p>
            </w:tc>
          </w:tr>
          <w:tr w:rsidR="000E2BB3" w14:paraId="6E263971" w14:textId="77777777">
            <w:trPr>
              <w:jc w:val="center"/>
            </w:trPr>
            <w:tc>
              <w:tcPr>
                <w:tcW w:w="5112" w:type="dxa"/>
                <w:shd w:val="clear" w:color="auto" w:fill="FFF2CB"/>
                <w:vAlign w:val="center"/>
              </w:tcPr>
              <w:p w14:paraId="12F66A4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258A7B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4B76A5D4" w14:textId="77777777" w:rsidR="000E2BB3" w:rsidRDefault="000E2BB3">
          <w:pPr>
            <w:rPr>
              <w:rFonts w:ascii="Times New Roman" w:eastAsia="Times New Roman" w:hAnsi="Times New Roman" w:cs="Times New Roman"/>
            </w:rPr>
          </w:pPr>
        </w:p>
        <w:p w14:paraId="21C4809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4183983" w14:textId="77777777">
            <w:trPr>
              <w:jc w:val="center"/>
            </w:trPr>
            <w:tc>
              <w:tcPr>
                <w:tcW w:w="5112" w:type="dxa"/>
                <w:shd w:val="clear" w:color="auto" w:fill="FFF2CB"/>
                <w:vAlign w:val="center"/>
              </w:tcPr>
              <w:p w14:paraId="0A8530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32A6CD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ISO/IEC 27701:2025 Privacy information management systems; ISO/IEC; 2025</w:t>
                </w:r>
              </w:p>
            </w:tc>
          </w:tr>
          <w:tr w:rsidR="000E2BB3" w14:paraId="5924E51F" w14:textId="77777777">
            <w:trPr>
              <w:jc w:val="center"/>
            </w:trPr>
            <w:tc>
              <w:tcPr>
                <w:tcW w:w="5112" w:type="dxa"/>
                <w:shd w:val="clear" w:color="auto" w:fill="FFF2CB"/>
                <w:vAlign w:val="center"/>
              </w:tcPr>
              <w:p w14:paraId="70633E3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A56A5D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w:t>
                </w:r>
              </w:p>
            </w:tc>
          </w:tr>
          <w:tr w:rsidR="000E2BB3" w14:paraId="2304A9B4" w14:textId="77777777">
            <w:trPr>
              <w:jc w:val="center"/>
            </w:trPr>
            <w:tc>
              <w:tcPr>
                <w:tcW w:w="5112" w:type="dxa"/>
                <w:shd w:val="clear" w:color="auto" w:fill="FFF2CB"/>
                <w:vAlign w:val="center"/>
              </w:tcPr>
              <w:p w14:paraId="7776C3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225E66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B98849B" w14:textId="77777777">
            <w:trPr>
              <w:jc w:val="center"/>
            </w:trPr>
            <w:tc>
              <w:tcPr>
                <w:tcW w:w="5112" w:type="dxa"/>
                <w:shd w:val="clear" w:color="auto" w:fill="FFF2CB"/>
                <w:vAlign w:val="center"/>
              </w:tcPr>
              <w:p w14:paraId="04EF1F4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48FCC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r>
          <w:tr w:rsidR="000E2BB3" w14:paraId="22362FA7" w14:textId="77777777">
            <w:trPr>
              <w:jc w:val="center"/>
            </w:trPr>
            <w:tc>
              <w:tcPr>
                <w:tcW w:w="5112" w:type="dxa"/>
                <w:shd w:val="clear" w:color="auto" w:fill="FFF2CB"/>
                <w:vAlign w:val="center"/>
              </w:tcPr>
              <w:p w14:paraId="252419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4E8CE1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certification is not legal compliance</w:t>
                </w:r>
              </w:p>
            </w:tc>
          </w:tr>
          <w:tr w:rsidR="000E2BB3" w14:paraId="673BD638" w14:textId="77777777">
            <w:trPr>
              <w:jc w:val="center"/>
            </w:trPr>
            <w:tc>
              <w:tcPr>
                <w:tcW w:w="5112" w:type="dxa"/>
                <w:shd w:val="clear" w:color="auto" w:fill="FFF2CB"/>
                <w:vAlign w:val="center"/>
              </w:tcPr>
              <w:p w14:paraId="13CEEC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452600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D961A13" w14:textId="77777777" w:rsidR="000E2BB3" w:rsidRDefault="000E2BB3">
          <w:pPr>
            <w:rPr>
              <w:rFonts w:ascii="Times New Roman" w:eastAsia="Times New Roman" w:hAnsi="Times New Roman" w:cs="Times New Roman"/>
            </w:rPr>
          </w:pPr>
        </w:p>
        <w:p w14:paraId="02735526"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8944731" w14:textId="77777777">
            <w:trPr>
              <w:jc w:val="center"/>
            </w:trPr>
            <w:tc>
              <w:tcPr>
                <w:tcW w:w="5112" w:type="dxa"/>
                <w:shd w:val="clear" w:color="auto" w:fill="FFF2CB"/>
                <w:vAlign w:val="center"/>
              </w:tcPr>
              <w:p w14:paraId="1D964B3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9D0C14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ISO/IEC 42001:2023 Artificial intelligence management system; ISO/IEC; 2023</w:t>
                </w:r>
              </w:p>
            </w:tc>
          </w:tr>
          <w:tr w:rsidR="000E2BB3" w14:paraId="48E953BC" w14:textId="77777777">
            <w:trPr>
              <w:jc w:val="center"/>
            </w:trPr>
            <w:tc>
              <w:tcPr>
                <w:tcW w:w="5112" w:type="dxa"/>
                <w:shd w:val="clear" w:color="auto" w:fill="FFF2CB"/>
                <w:vAlign w:val="center"/>
              </w:tcPr>
              <w:p w14:paraId="7B7C00A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F332A4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w:t>
                </w:r>
              </w:p>
            </w:tc>
          </w:tr>
          <w:tr w:rsidR="000E2BB3" w14:paraId="5DB765C7" w14:textId="77777777">
            <w:trPr>
              <w:jc w:val="center"/>
            </w:trPr>
            <w:tc>
              <w:tcPr>
                <w:tcW w:w="5112" w:type="dxa"/>
                <w:shd w:val="clear" w:color="auto" w:fill="FFF2CB"/>
                <w:vAlign w:val="center"/>
              </w:tcPr>
              <w:p w14:paraId="3A3E35C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FA0FA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08CB80A7" w14:textId="77777777">
            <w:trPr>
              <w:jc w:val="center"/>
            </w:trPr>
            <w:tc>
              <w:tcPr>
                <w:tcW w:w="5112" w:type="dxa"/>
                <w:shd w:val="clear" w:color="auto" w:fill="FFF2CB"/>
                <w:vAlign w:val="center"/>
              </w:tcPr>
              <w:p w14:paraId="5FC87C9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960FCB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r>
          <w:tr w:rsidR="000E2BB3" w14:paraId="6520EA30" w14:textId="77777777">
            <w:trPr>
              <w:jc w:val="center"/>
            </w:trPr>
            <w:tc>
              <w:tcPr>
                <w:tcW w:w="5112" w:type="dxa"/>
                <w:shd w:val="clear" w:color="auto" w:fill="FFF2CB"/>
                <w:vAlign w:val="center"/>
              </w:tcPr>
              <w:p w14:paraId="0213326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5825C6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generic to all AI</w:t>
                </w:r>
              </w:p>
            </w:tc>
          </w:tr>
          <w:tr w:rsidR="000E2BB3" w14:paraId="6F4E0653" w14:textId="77777777">
            <w:trPr>
              <w:jc w:val="center"/>
            </w:trPr>
            <w:tc>
              <w:tcPr>
                <w:tcW w:w="5112" w:type="dxa"/>
                <w:shd w:val="clear" w:color="auto" w:fill="FFF2CB"/>
                <w:vAlign w:val="center"/>
              </w:tcPr>
              <w:p w14:paraId="3AC5187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6477B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1F55A434" w14:textId="77777777" w:rsidR="000E2BB3" w:rsidRDefault="000E2BB3">
          <w:pPr>
            <w:rPr>
              <w:rFonts w:ascii="Times New Roman" w:eastAsia="Times New Roman" w:hAnsi="Times New Roman" w:cs="Times New Roman"/>
            </w:rPr>
          </w:pPr>
        </w:p>
        <w:p w14:paraId="338910B8"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11F22FA" w14:textId="77777777">
            <w:trPr>
              <w:jc w:val="center"/>
            </w:trPr>
            <w:tc>
              <w:tcPr>
                <w:tcW w:w="5112" w:type="dxa"/>
                <w:shd w:val="clear" w:color="auto" w:fill="FFF2CB"/>
                <w:vAlign w:val="center"/>
              </w:tcPr>
              <w:p w14:paraId="2C5334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F1845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ISO/IEC 27559:2022 Privacy enhancing data de-identification framework; ISO/IEC; 2022</w:t>
                </w:r>
              </w:p>
            </w:tc>
          </w:tr>
          <w:tr w:rsidR="000E2BB3" w14:paraId="722FB006" w14:textId="77777777">
            <w:trPr>
              <w:jc w:val="center"/>
            </w:trPr>
            <w:tc>
              <w:tcPr>
                <w:tcW w:w="5112" w:type="dxa"/>
                <w:shd w:val="clear" w:color="auto" w:fill="FFF2CB"/>
                <w:vAlign w:val="center"/>
              </w:tcPr>
              <w:p w14:paraId="128D9D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DD93E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w:t>
                </w:r>
              </w:p>
            </w:tc>
          </w:tr>
          <w:tr w:rsidR="000E2BB3" w14:paraId="249A8A1E" w14:textId="77777777">
            <w:trPr>
              <w:jc w:val="center"/>
            </w:trPr>
            <w:tc>
              <w:tcPr>
                <w:tcW w:w="5112" w:type="dxa"/>
                <w:shd w:val="clear" w:color="auto" w:fill="FFF2CB"/>
                <w:vAlign w:val="center"/>
              </w:tcPr>
              <w:p w14:paraId="2A80D4C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B70E1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C4AE8B1" w14:textId="77777777">
            <w:trPr>
              <w:jc w:val="center"/>
            </w:trPr>
            <w:tc>
              <w:tcPr>
                <w:tcW w:w="5112" w:type="dxa"/>
                <w:shd w:val="clear" w:color="auto" w:fill="FFF2CB"/>
                <w:vAlign w:val="center"/>
              </w:tcPr>
              <w:p w14:paraId="57B167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BD317F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r>
          <w:tr w:rsidR="000E2BB3" w14:paraId="44676E4E" w14:textId="77777777">
            <w:trPr>
              <w:jc w:val="center"/>
            </w:trPr>
            <w:tc>
              <w:tcPr>
                <w:tcW w:w="5112" w:type="dxa"/>
                <w:shd w:val="clear" w:color="auto" w:fill="FFF2CB"/>
                <w:vAlign w:val="center"/>
              </w:tcPr>
              <w:p w14:paraId="60CDD49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360D20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abstract-level reading</w:t>
                </w:r>
              </w:p>
            </w:tc>
          </w:tr>
          <w:tr w:rsidR="000E2BB3" w14:paraId="249409DB" w14:textId="77777777">
            <w:trPr>
              <w:jc w:val="center"/>
            </w:trPr>
            <w:tc>
              <w:tcPr>
                <w:tcW w:w="5112" w:type="dxa"/>
                <w:shd w:val="clear" w:color="auto" w:fill="FFF2CB"/>
                <w:vAlign w:val="center"/>
              </w:tcPr>
              <w:p w14:paraId="4EFF6C8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7F3F1E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E4ACF5A" w14:textId="77777777" w:rsidR="000E2BB3" w:rsidRDefault="000E2BB3">
          <w:pPr>
            <w:rPr>
              <w:rFonts w:ascii="Times New Roman" w:eastAsia="Times New Roman" w:hAnsi="Times New Roman" w:cs="Times New Roman"/>
            </w:rPr>
          </w:pPr>
        </w:p>
        <w:p w14:paraId="7701A3C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6E89A3F" w14:textId="77777777">
            <w:trPr>
              <w:jc w:val="center"/>
            </w:trPr>
            <w:tc>
              <w:tcPr>
                <w:tcW w:w="5112" w:type="dxa"/>
                <w:shd w:val="clear" w:color="auto" w:fill="FFF2CB"/>
                <w:vAlign w:val="center"/>
              </w:tcPr>
              <w:p w14:paraId="14F431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Identification (Title, Authors, Year)</w:t>
                </w:r>
              </w:p>
            </w:tc>
            <w:tc>
              <w:tcPr>
                <w:tcW w:w="5112" w:type="dxa"/>
                <w:vAlign w:val="center"/>
              </w:tcPr>
              <w:p w14:paraId="770F74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ISO/IEC 5259-1:2024 Data quality for analytics and ML, Part 1; ISO/IEC; 2024</w:t>
                </w:r>
              </w:p>
            </w:tc>
          </w:tr>
          <w:tr w:rsidR="000E2BB3" w14:paraId="71447CAF" w14:textId="77777777">
            <w:trPr>
              <w:jc w:val="center"/>
            </w:trPr>
            <w:tc>
              <w:tcPr>
                <w:tcW w:w="5112" w:type="dxa"/>
                <w:shd w:val="clear" w:color="auto" w:fill="FFF2CB"/>
                <w:vAlign w:val="center"/>
              </w:tcPr>
              <w:p w14:paraId="447229B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AB65E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w:t>
                </w:r>
              </w:p>
            </w:tc>
          </w:tr>
          <w:tr w:rsidR="000E2BB3" w14:paraId="4AAC630A" w14:textId="77777777">
            <w:trPr>
              <w:jc w:val="center"/>
            </w:trPr>
            <w:tc>
              <w:tcPr>
                <w:tcW w:w="5112" w:type="dxa"/>
                <w:shd w:val="clear" w:color="auto" w:fill="FFF2CB"/>
                <w:vAlign w:val="center"/>
              </w:tcPr>
              <w:p w14:paraId="6B7027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48B108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r>
          <w:tr w:rsidR="000E2BB3" w14:paraId="56EA34F4" w14:textId="77777777">
            <w:trPr>
              <w:jc w:val="center"/>
            </w:trPr>
            <w:tc>
              <w:tcPr>
                <w:tcW w:w="5112" w:type="dxa"/>
                <w:shd w:val="clear" w:color="auto" w:fill="FFF2CB"/>
                <w:vAlign w:val="center"/>
              </w:tcPr>
              <w:p w14:paraId="52604F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3C566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r>
          <w:tr w:rsidR="000E2BB3" w14:paraId="674659CD" w14:textId="77777777">
            <w:trPr>
              <w:jc w:val="center"/>
            </w:trPr>
            <w:tc>
              <w:tcPr>
                <w:tcW w:w="5112" w:type="dxa"/>
                <w:shd w:val="clear" w:color="auto" w:fill="FFF2CB"/>
                <w:vAlign w:val="center"/>
              </w:tcPr>
              <w:p w14:paraId="71FE62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706B47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Terminology part only; relevance to personal information unclear</w:t>
                </w:r>
              </w:p>
            </w:tc>
          </w:tr>
          <w:tr w:rsidR="000E2BB3" w14:paraId="52AF6A5D" w14:textId="77777777">
            <w:trPr>
              <w:jc w:val="center"/>
            </w:trPr>
            <w:tc>
              <w:tcPr>
                <w:tcW w:w="5112" w:type="dxa"/>
                <w:shd w:val="clear" w:color="auto" w:fill="FFF2CB"/>
                <w:vAlign w:val="center"/>
              </w:tcPr>
              <w:p w14:paraId="10EFF1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00248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r>
        </w:tbl>
        <w:p w14:paraId="2E904ABA" w14:textId="77777777" w:rsidR="000E2BB3" w:rsidRDefault="000E2BB3">
          <w:pPr>
            <w:rPr>
              <w:rFonts w:ascii="Times New Roman" w:eastAsia="Times New Roman" w:hAnsi="Times New Roman" w:cs="Times New Roman"/>
            </w:rPr>
          </w:pPr>
        </w:p>
        <w:p w14:paraId="708F8C5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70833C4" w14:textId="77777777">
            <w:trPr>
              <w:jc w:val="center"/>
            </w:trPr>
            <w:tc>
              <w:tcPr>
                <w:tcW w:w="5112" w:type="dxa"/>
                <w:shd w:val="clear" w:color="auto" w:fill="FFF2CB"/>
                <w:vAlign w:val="center"/>
              </w:tcPr>
              <w:p w14:paraId="4E0816C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75FF3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 Privacy Framework, version 1.0; NIST; 2020</w:t>
                </w:r>
              </w:p>
            </w:tc>
          </w:tr>
          <w:tr w:rsidR="000E2BB3" w14:paraId="25017DD3" w14:textId="77777777">
            <w:trPr>
              <w:jc w:val="center"/>
            </w:trPr>
            <w:tc>
              <w:tcPr>
                <w:tcW w:w="5112" w:type="dxa"/>
                <w:shd w:val="clear" w:color="auto" w:fill="FFF2CB"/>
                <w:vAlign w:val="center"/>
              </w:tcPr>
              <w:p w14:paraId="00B6BF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DCFB93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 / framework</w:t>
                </w:r>
              </w:p>
            </w:tc>
          </w:tr>
          <w:tr w:rsidR="000E2BB3" w14:paraId="1157F996" w14:textId="77777777">
            <w:trPr>
              <w:jc w:val="center"/>
            </w:trPr>
            <w:tc>
              <w:tcPr>
                <w:tcW w:w="5112" w:type="dxa"/>
                <w:shd w:val="clear" w:color="auto" w:fill="FFF2CB"/>
                <w:vAlign w:val="center"/>
              </w:tcPr>
              <w:p w14:paraId="4544DCD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DD938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ADF7458" w14:textId="77777777">
            <w:trPr>
              <w:jc w:val="center"/>
            </w:trPr>
            <w:tc>
              <w:tcPr>
                <w:tcW w:w="5112" w:type="dxa"/>
                <w:shd w:val="clear" w:color="auto" w:fill="FFF2CB"/>
                <w:vAlign w:val="center"/>
              </w:tcPr>
              <w:p w14:paraId="770EA69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818CF9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U.S. federal standards agency</w:t>
                </w:r>
              </w:p>
            </w:tc>
          </w:tr>
          <w:tr w:rsidR="000E2BB3" w14:paraId="2553801C" w14:textId="77777777">
            <w:trPr>
              <w:jc w:val="center"/>
            </w:trPr>
            <w:tc>
              <w:tcPr>
                <w:tcW w:w="5112" w:type="dxa"/>
                <w:shd w:val="clear" w:color="auto" w:fill="FFF2CB"/>
                <w:vAlign w:val="center"/>
              </w:tcPr>
              <w:p w14:paraId="297F342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00184E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U.S. orientation; voluntary</w:t>
                </w:r>
              </w:p>
            </w:tc>
          </w:tr>
          <w:tr w:rsidR="000E2BB3" w14:paraId="696398B0" w14:textId="77777777">
            <w:trPr>
              <w:jc w:val="center"/>
            </w:trPr>
            <w:tc>
              <w:tcPr>
                <w:tcW w:w="5112" w:type="dxa"/>
                <w:shd w:val="clear" w:color="auto" w:fill="FFF2CB"/>
                <w:vAlign w:val="center"/>
              </w:tcPr>
              <w:p w14:paraId="0F6679E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95E80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CE57E97" w14:textId="77777777" w:rsidR="000E2BB3" w:rsidRDefault="000E2BB3">
          <w:pPr>
            <w:rPr>
              <w:rFonts w:ascii="Times New Roman" w:eastAsia="Times New Roman" w:hAnsi="Times New Roman" w:cs="Times New Roman"/>
            </w:rPr>
          </w:pPr>
        </w:p>
        <w:p w14:paraId="7B363AD9"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68: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A3D1F43" w14:textId="77777777">
            <w:trPr>
              <w:jc w:val="center"/>
            </w:trPr>
            <w:tc>
              <w:tcPr>
                <w:tcW w:w="5112" w:type="dxa"/>
                <w:shd w:val="clear" w:color="auto" w:fill="FFF2CB"/>
                <w:vAlign w:val="center"/>
              </w:tcPr>
              <w:p w14:paraId="6A7C88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468A7F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 Privacy Framework 1.1, Initial Public Draft; NIST; 2025</w:t>
                </w:r>
              </w:p>
            </w:tc>
          </w:tr>
          <w:tr w:rsidR="000E2BB3" w14:paraId="3CD76D95" w14:textId="77777777">
            <w:trPr>
              <w:jc w:val="center"/>
            </w:trPr>
            <w:tc>
              <w:tcPr>
                <w:tcW w:w="5112" w:type="dxa"/>
                <w:shd w:val="clear" w:color="auto" w:fill="FFF2CB"/>
                <w:vAlign w:val="center"/>
              </w:tcPr>
              <w:p w14:paraId="25E51F3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1EC2F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Draft framework</w:t>
                </w:r>
              </w:p>
            </w:tc>
          </w:tr>
          <w:tr w:rsidR="000E2BB3" w14:paraId="10334E83" w14:textId="77777777">
            <w:trPr>
              <w:jc w:val="center"/>
            </w:trPr>
            <w:tc>
              <w:tcPr>
                <w:tcW w:w="5112" w:type="dxa"/>
                <w:shd w:val="clear" w:color="auto" w:fill="FFF2CB"/>
                <w:vAlign w:val="center"/>
              </w:tcPr>
              <w:p w14:paraId="2F93BA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153A02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36BE11C9" w14:textId="77777777">
            <w:trPr>
              <w:jc w:val="center"/>
            </w:trPr>
            <w:tc>
              <w:tcPr>
                <w:tcW w:w="5112" w:type="dxa"/>
                <w:shd w:val="clear" w:color="auto" w:fill="FFF2CB"/>
                <w:vAlign w:val="center"/>
              </w:tcPr>
              <w:p w14:paraId="1B57AB5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D55FC5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w:t>
                </w:r>
              </w:p>
            </w:tc>
          </w:tr>
          <w:tr w:rsidR="000E2BB3" w14:paraId="474CDB5E" w14:textId="77777777">
            <w:trPr>
              <w:jc w:val="center"/>
            </w:trPr>
            <w:tc>
              <w:tcPr>
                <w:tcW w:w="5112" w:type="dxa"/>
                <w:shd w:val="clear" w:color="auto" w:fill="FFF2CB"/>
                <w:vAlign w:val="center"/>
              </w:tcPr>
              <w:p w14:paraId="34BD1BB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5DE2C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Draft, not final as of Oct. 2026; S59 cited instead</w:t>
                </w:r>
              </w:p>
            </w:tc>
          </w:tr>
          <w:tr w:rsidR="000E2BB3" w14:paraId="01E04950" w14:textId="77777777">
            <w:trPr>
              <w:jc w:val="center"/>
            </w:trPr>
            <w:tc>
              <w:tcPr>
                <w:tcW w:w="5112" w:type="dxa"/>
                <w:shd w:val="clear" w:color="auto" w:fill="FFF2CB"/>
                <w:vAlign w:val="center"/>
              </w:tcPr>
              <w:p w14:paraId="6A888D8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3AA28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Exclude</w:t>
                </w:r>
              </w:p>
            </w:tc>
          </w:tr>
        </w:tbl>
        <w:p w14:paraId="146925E2" w14:textId="77777777" w:rsidR="000E2BB3" w:rsidRDefault="000E2BB3">
          <w:pPr>
            <w:rPr>
              <w:rFonts w:ascii="Times New Roman" w:eastAsia="Times New Roman" w:hAnsi="Times New Roman" w:cs="Times New Roman"/>
            </w:rPr>
          </w:pPr>
        </w:p>
        <w:p w14:paraId="20DEFBD7"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Evidence 69: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A24B2AD" w14:textId="77777777">
            <w:trPr>
              <w:jc w:val="center"/>
            </w:trPr>
            <w:tc>
              <w:tcPr>
                <w:tcW w:w="5112" w:type="dxa"/>
                <w:shd w:val="clear" w:color="auto" w:fill="FFF2CB"/>
                <w:vAlign w:val="center"/>
              </w:tcPr>
              <w:p w14:paraId="25701C1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8F2153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Artificial Intelligence Risk Management Framework (AI RMF 1.0); E. Tabassi / NIST; 2023</w:t>
                </w:r>
              </w:p>
            </w:tc>
          </w:tr>
          <w:tr w:rsidR="000E2BB3" w14:paraId="67ED3713" w14:textId="77777777">
            <w:trPr>
              <w:jc w:val="center"/>
            </w:trPr>
            <w:tc>
              <w:tcPr>
                <w:tcW w:w="5112" w:type="dxa"/>
                <w:shd w:val="clear" w:color="auto" w:fill="FFF2CB"/>
                <w:vAlign w:val="center"/>
              </w:tcPr>
              <w:p w14:paraId="4CE76C9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653CC8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 / framework</w:t>
                </w:r>
              </w:p>
            </w:tc>
          </w:tr>
          <w:tr w:rsidR="000E2BB3" w14:paraId="40082817" w14:textId="77777777">
            <w:trPr>
              <w:jc w:val="center"/>
            </w:trPr>
            <w:tc>
              <w:tcPr>
                <w:tcW w:w="5112" w:type="dxa"/>
                <w:shd w:val="clear" w:color="auto" w:fill="FFF2CB"/>
                <w:vAlign w:val="center"/>
              </w:tcPr>
              <w:p w14:paraId="1266B3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90FD9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53E7C43B" w14:textId="77777777">
            <w:trPr>
              <w:jc w:val="center"/>
            </w:trPr>
            <w:tc>
              <w:tcPr>
                <w:tcW w:w="5112" w:type="dxa"/>
                <w:shd w:val="clear" w:color="auto" w:fill="FFF2CB"/>
                <w:vAlign w:val="center"/>
              </w:tcPr>
              <w:p w14:paraId="13F6C0F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C54951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w:t>
                </w:r>
              </w:p>
            </w:tc>
          </w:tr>
          <w:tr w:rsidR="000E2BB3" w14:paraId="5A05F456" w14:textId="77777777">
            <w:trPr>
              <w:jc w:val="center"/>
            </w:trPr>
            <w:tc>
              <w:tcPr>
                <w:tcW w:w="5112" w:type="dxa"/>
                <w:shd w:val="clear" w:color="auto" w:fill="FFF2CB"/>
                <w:vAlign w:val="center"/>
              </w:tcPr>
              <w:p w14:paraId="7D5FEC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3FF73A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Voluntary; general-purpose</w:t>
                </w:r>
              </w:p>
            </w:tc>
          </w:tr>
          <w:tr w:rsidR="000E2BB3" w14:paraId="1D6FB5D4" w14:textId="77777777">
            <w:trPr>
              <w:jc w:val="center"/>
            </w:trPr>
            <w:tc>
              <w:tcPr>
                <w:tcW w:w="5112" w:type="dxa"/>
                <w:shd w:val="clear" w:color="auto" w:fill="FFF2CB"/>
                <w:vAlign w:val="center"/>
              </w:tcPr>
              <w:p w14:paraId="317B796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8EE6A4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19F5AE8" w14:textId="77777777" w:rsidR="000E2BB3" w:rsidRDefault="000E2BB3">
          <w:pPr>
            <w:rPr>
              <w:rFonts w:ascii="Times New Roman" w:eastAsia="Times New Roman" w:hAnsi="Times New Roman" w:cs="Times New Roman"/>
            </w:rPr>
          </w:pPr>
        </w:p>
        <w:p w14:paraId="396F6EC4"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E6B2724" w14:textId="77777777">
            <w:trPr>
              <w:jc w:val="center"/>
            </w:trPr>
            <w:tc>
              <w:tcPr>
                <w:tcW w:w="5112" w:type="dxa"/>
                <w:shd w:val="clear" w:color="auto" w:fill="FFF2CB"/>
                <w:vAlign w:val="center"/>
              </w:tcPr>
              <w:p w14:paraId="02F9320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2D0185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 to protecting the confidentiality of PII (SP 800-122); E. McCallister, T. Grance, K. Scarfone; 2010</w:t>
                </w:r>
              </w:p>
            </w:tc>
          </w:tr>
          <w:tr w:rsidR="000E2BB3" w14:paraId="6F7E06E0" w14:textId="77777777">
            <w:trPr>
              <w:jc w:val="center"/>
            </w:trPr>
            <w:tc>
              <w:tcPr>
                <w:tcW w:w="5112" w:type="dxa"/>
                <w:shd w:val="clear" w:color="auto" w:fill="FFF2CB"/>
                <w:vAlign w:val="center"/>
              </w:tcPr>
              <w:p w14:paraId="5FC95D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B2542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w:t>
                </w:r>
              </w:p>
            </w:tc>
          </w:tr>
          <w:tr w:rsidR="000E2BB3" w14:paraId="5D6BC688" w14:textId="77777777">
            <w:trPr>
              <w:jc w:val="center"/>
            </w:trPr>
            <w:tc>
              <w:tcPr>
                <w:tcW w:w="5112" w:type="dxa"/>
                <w:shd w:val="clear" w:color="auto" w:fill="FFF2CB"/>
                <w:vAlign w:val="center"/>
              </w:tcPr>
              <w:p w14:paraId="50DAC4B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3BAB9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2AB80991" w14:textId="77777777">
            <w:trPr>
              <w:jc w:val="center"/>
            </w:trPr>
            <w:tc>
              <w:tcPr>
                <w:tcW w:w="5112" w:type="dxa"/>
                <w:shd w:val="clear" w:color="auto" w:fill="FFF2CB"/>
                <w:vAlign w:val="center"/>
              </w:tcPr>
              <w:p w14:paraId="0AAC37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BD94EF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 Special Publication</w:t>
                </w:r>
              </w:p>
            </w:tc>
          </w:tr>
          <w:tr w:rsidR="000E2BB3" w14:paraId="70C010A0" w14:textId="77777777">
            <w:trPr>
              <w:jc w:val="center"/>
            </w:trPr>
            <w:tc>
              <w:tcPr>
                <w:tcW w:w="5112" w:type="dxa"/>
                <w:shd w:val="clear" w:color="auto" w:fill="FFF2CB"/>
                <w:vAlign w:val="center"/>
              </w:tcPr>
              <w:p w14:paraId="7153C8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363A2C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Old; U.S. federal context</w:t>
                </w:r>
              </w:p>
            </w:tc>
          </w:tr>
          <w:tr w:rsidR="000E2BB3" w14:paraId="7743BAD5" w14:textId="77777777">
            <w:trPr>
              <w:jc w:val="center"/>
            </w:trPr>
            <w:tc>
              <w:tcPr>
                <w:tcW w:w="5112" w:type="dxa"/>
                <w:shd w:val="clear" w:color="auto" w:fill="FFF2CB"/>
                <w:vAlign w:val="center"/>
              </w:tcPr>
              <w:p w14:paraId="134ABC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532C1D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C637A22" w14:textId="77777777" w:rsidR="000E2BB3" w:rsidRDefault="000E2BB3">
          <w:pPr>
            <w:rPr>
              <w:rFonts w:ascii="Times New Roman" w:eastAsia="Times New Roman" w:hAnsi="Times New Roman" w:cs="Times New Roman"/>
            </w:rPr>
          </w:pPr>
        </w:p>
        <w:p w14:paraId="0F5154D4"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6AE0CF76" w14:textId="77777777">
            <w:trPr>
              <w:jc w:val="center"/>
            </w:trPr>
            <w:tc>
              <w:tcPr>
                <w:tcW w:w="5112" w:type="dxa"/>
                <w:shd w:val="clear" w:color="auto" w:fill="FFF2CB"/>
                <w:vAlign w:val="center"/>
              </w:tcPr>
              <w:p w14:paraId="3E3000D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529CF7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 to attribute based access control (SP 800-162); V. C. Hu et al.; 2014</w:t>
                </w:r>
              </w:p>
            </w:tc>
          </w:tr>
          <w:tr w:rsidR="000E2BB3" w14:paraId="3004663A" w14:textId="77777777">
            <w:trPr>
              <w:jc w:val="center"/>
            </w:trPr>
            <w:tc>
              <w:tcPr>
                <w:tcW w:w="5112" w:type="dxa"/>
                <w:shd w:val="clear" w:color="auto" w:fill="FFF2CB"/>
                <w:vAlign w:val="center"/>
              </w:tcPr>
              <w:p w14:paraId="4D83C5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348EEF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w:t>
                </w:r>
              </w:p>
            </w:tc>
          </w:tr>
          <w:tr w:rsidR="000E2BB3" w14:paraId="161CEFF2" w14:textId="77777777">
            <w:trPr>
              <w:jc w:val="center"/>
            </w:trPr>
            <w:tc>
              <w:tcPr>
                <w:tcW w:w="5112" w:type="dxa"/>
                <w:shd w:val="clear" w:color="auto" w:fill="FFF2CB"/>
                <w:vAlign w:val="center"/>
              </w:tcPr>
              <w:p w14:paraId="33D299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157F34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5A2EB809" w14:textId="77777777">
            <w:trPr>
              <w:jc w:val="center"/>
            </w:trPr>
            <w:tc>
              <w:tcPr>
                <w:tcW w:w="5112" w:type="dxa"/>
                <w:shd w:val="clear" w:color="auto" w:fill="FFF2CB"/>
                <w:vAlign w:val="center"/>
              </w:tcPr>
              <w:p w14:paraId="6F2DC1C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496F9E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NIST Special Publication</w:t>
                </w:r>
              </w:p>
            </w:tc>
          </w:tr>
          <w:tr w:rsidR="000E2BB3" w14:paraId="5CB6058B" w14:textId="77777777">
            <w:trPr>
              <w:jc w:val="center"/>
            </w:trPr>
            <w:tc>
              <w:tcPr>
                <w:tcW w:w="5112" w:type="dxa"/>
                <w:shd w:val="clear" w:color="auto" w:fill="FFF2CB"/>
                <w:vAlign w:val="center"/>
              </w:tcPr>
              <w:p w14:paraId="4D57281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3AA70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no catalogue specifics</w:t>
                </w:r>
              </w:p>
            </w:tc>
          </w:tr>
          <w:tr w:rsidR="000E2BB3" w14:paraId="7EB8F2B7" w14:textId="77777777">
            <w:trPr>
              <w:jc w:val="center"/>
            </w:trPr>
            <w:tc>
              <w:tcPr>
                <w:tcW w:w="5112" w:type="dxa"/>
                <w:shd w:val="clear" w:color="auto" w:fill="FFF2CB"/>
                <w:vAlign w:val="center"/>
              </w:tcPr>
              <w:p w14:paraId="4DFF91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Screening Decision (Include / Exclude / Pending)</w:t>
                </w:r>
              </w:p>
            </w:tc>
            <w:tc>
              <w:tcPr>
                <w:tcW w:w="5112" w:type="dxa"/>
                <w:vAlign w:val="center"/>
              </w:tcPr>
              <w:p w14:paraId="608238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184459C2" w14:textId="77777777" w:rsidR="000E2BB3" w:rsidRDefault="000E2BB3">
          <w:pPr>
            <w:rPr>
              <w:rFonts w:ascii="Times New Roman" w:eastAsia="Times New Roman" w:hAnsi="Times New Roman" w:cs="Times New Roman"/>
            </w:rPr>
          </w:pPr>
        </w:p>
        <w:p w14:paraId="113423F2"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421FAB3" w14:textId="77777777">
            <w:trPr>
              <w:jc w:val="center"/>
            </w:trPr>
            <w:tc>
              <w:tcPr>
                <w:tcW w:w="5112" w:type="dxa"/>
                <w:shd w:val="clear" w:color="auto" w:fill="FFF2CB"/>
                <w:vAlign w:val="center"/>
              </w:tcPr>
              <w:p w14:paraId="1853C4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0B17D5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Principles for effective risk data aggregation and risk reporting (BCBS 239); Basel Committee on Banking Supervision; 2013</w:t>
                </w:r>
              </w:p>
            </w:tc>
          </w:tr>
          <w:tr w:rsidR="000E2BB3" w14:paraId="524DFC9C" w14:textId="77777777">
            <w:trPr>
              <w:jc w:val="center"/>
            </w:trPr>
            <w:tc>
              <w:tcPr>
                <w:tcW w:w="5112" w:type="dxa"/>
                <w:shd w:val="clear" w:color="auto" w:fill="FFF2CB"/>
                <w:vAlign w:val="center"/>
              </w:tcPr>
              <w:p w14:paraId="769B702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442B75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 (banking)</w:t>
                </w:r>
              </w:p>
            </w:tc>
          </w:tr>
          <w:tr w:rsidR="000E2BB3" w14:paraId="071436DF" w14:textId="77777777">
            <w:trPr>
              <w:jc w:val="center"/>
            </w:trPr>
            <w:tc>
              <w:tcPr>
                <w:tcW w:w="5112" w:type="dxa"/>
                <w:shd w:val="clear" w:color="auto" w:fill="FFF2CB"/>
                <w:vAlign w:val="center"/>
              </w:tcPr>
              <w:p w14:paraId="14E0BE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CED4F9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0EEEEDAC" w14:textId="77777777">
            <w:trPr>
              <w:jc w:val="center"/>
            </w:trPr>
            <w:tc>
              <w:tcPr>
                <w:tcW w:w="5112" w:type="dxa"/>
                <w:shd w:val="clear" w:color="auto" w:fill="FFF2CB"/>
                <w:vAlign w:val="center"/>
              </w:tcPr>
              <w:p w14:paraId="2D89ADA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15D7B2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Basel Committee</w:t>
                </w:r>
              </w:p>
            </w:tc>
          </w:tr>
          <w:tr w:rsidR="000E2BB3" w14:paraId="07298155" w14:textId="77777777">
            <w:trPr>
              <w:jc w:val="center"/>
            </w:trPr>
            <w:tc>
              <w:tcPr>
                <w:tcW w:w="5112" w:type="dxa"/>
                <w:shd w:val="clear" w:color="auto" w:fill="FFF2CB"/>
                <w:vAlign w:val="center"/>
              </w:tcPr>
              <w:p w14:paraId="7F2089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E56E8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Risk data, not privacy</w:t>
                </w:r>
              </w:p>
            </w:tc>
          </w:tr>
          <w:tr w:rsidR="000E2BB3" w14:paraId="1E9B5B46" w14:textId="77777777">
            <w:trPr>
              <w:jc w:val="center"/>
            </w:trPr>
            <w:tc>
              <w:tcPr>
                <w:tcW w:w="5112" w:type="dxa"/>
                <w:shd w:val="clear" w:color="auto" w:fill="FFF2CB"/>
                <w:vAlign w:val="center"/>
              </w:tcPr>
              <w:p w14:paraId="5E5341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B0DE1C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490946F3" w14:textId="77777777" w:rsidR="000E2BB3" w:rsidRDefault="000E2BB3">
          <w:pPr>
            <w:rPr>
              <w:rFonts w:ascii="Times New Roman" w:eastAsia="Times New Roman" w:hAnsi="Times New Roman" w:cs="Times New Roman"/>
            </w:rPr>
          </w:pPr>
        </w:p>
        <w:p w14:paraId="03F3ACC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73:</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19A6E7CB" w14:textId="77777777">
            <w:trPr>
              <w:jc w:val="center"/>
            </w:trPr>
            <w:tc>
              <w:tcPr>
                <w:tcW w:w="5112" w:type="dxa"/>
                <w:shd w:val="clear" w:color="auto" w:fill="FFF2CB"/>
                <w:vAlign w:val="center"/>
              </w:tcPr>
              <w:p w14:paraId="3638E3C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F862E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Progress in adopting the Principles for effective risk data aggregation and risk reporting; BCBS; 2023</w:t>
                </w:r>
              </w:p>
            </w:tc>
          </w:tr>
          <w:tr w:rsidR="000E2BB3" w14:paraId="5E2C8235" w14:textId="77777777">
            <w:trPr>
              <w:jc w:val="center"/>
            </w:trPr>
            <w:tc>
              <w:tcPr>
                <w:tcW w:w="5112" w:type="dxa"/>
                <w:shd w:val="clear" w:color="auto" w:fill="FFF2CB"/>
                <w:vAlign w:val="center"/>
              </w:tcPr>
              <w:p w14:paraId="33170F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16CD54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report</w:t>
                </w:r>
              </w:p>
            </w:tc>
          </w:tr>
          <w:tr w:rsidR="000E2BB3" w14:paraId="47B26792" w14:textId="77777777">
            <w:trPr>
              <w:jc w:val="center"/>
            </w:trPr>
            <w:tc>
              <w:tcPr>
                <w:tcW w:w="5112" w:type="dxa"/>
                <w:shd w:val="clear" w:color="auto" w:fill="FFF2CB"/>
                <w:vAlign w:val="center"/>
              </w:tcPr>
              <w:p w14:paraId="6C8C16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55415D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48EA68B4" w14:textId="77777777">
            <w:trPr>
              <w:jc w:val="center"/>
            </w:trPr>
            <w:tc>
              <w:tcPr>
                <w:tcW w:w="5112" w:type="dxa"/>
                <w:shd w:val="clear" w:color="auto" w:fill="FFF2CB"/>
                <w:vAlign w:val="center"/>
              </w:tcPr>
              <w:p w14:paraId="223C23B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78329E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Basel Committee</w:t>
                </w:r>
              </w:p>
            </w:tc>
          </w:tr>
          <w:tr w:rsidR="000E2BB3" w14:paraId="6734AE04" w14:textId="77777777">
            <w:trPr>
              <w:jc w:val="center"/>
            </w:trPr>
            <w:tc>
              <w:tcPr>
                <w:tcW w:w="5112" w:type="dxa"/>
                <w:shd w:val="clear" w:color="auto" w:fill="FFF2CB"/>
                <w:vAlign w:val="center"/>
              </w:tcPr>
              <w:p w14:paraId="63BFAB1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B145C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Global systemically important banks only</w:t>
                </w:r>
              </w:p>
            </w:tc>
          </w:tr>
          <w:tr w:rsidR="000E2BB3" w14:paraId="5D8766DD" w14:textId="77777777">
            <w:trPr>
              <w:jc w:val="center"/>
            </w:trPr>
            <w:tc>
              <w:tcPr>
                <w:tcW w:w="5112" w:type="dxa"/>
                <w:shd w:val="clear" w:color="auto" w:fill="FFF2CB"/>
                <w:vAlign w:val="center"/>
              </w:tcPr>
              <w:p w14:paraId="6B04C6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3149211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E8221A0" w14:textId="77777777" w:rsidR="000E2BB3" w:rsidRDefault="000E2BB3">
          <w:pPr>
            <w:rPr>
              <w:rFonts w:ascii="Times New Roman" w:eastAsia="Times New Roman" w:hAnsi="Times New Roman" w:cs="Times New Roman"/>
            </w:rPr>
          </w:pPr>
        </w:p>
        <w:p w14:paraId="5150BBD5"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74:</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D86EF3F" w14:textId="77777777">
            <w:trPr>
              <w:jc w:val="center"/>
            </w:trPr>
            <w:tc>
              <w:tcPr>
                <w:tcW w:w="5112" w:type="dxa"/>
                <w:shd w:val="clear" w:color="auto" w:fill="FFF2CB"/>
                <w:vAlign w:val="center"/>
              </w:tcPr>
              <w:p w14:paraId="2142C9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A4754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Privacy by Design: The 7 foundational principles; A. Cavoukian; 2009 (revised 2011)</w:t>
                </w:r>
              </w:p>
            </w:tc>
          </w:tr>
          <w:tr w:rsidR="000E2BB3" w14:paraId="15F774D0" w14:textId="77777777">
            <w:trPr>
              <w:jc w:val="center"/>
            </w:trPr>
            <w:tc>
              <w:tcPr>
                <w:tcW w:w="5112" w:type="dxa"/>
                <w:shd w:val="clear" w:color="auto" w:fill="FFF2CB"/>
                <w:vAlign w:val="center"/>
              </w:tcPr>
              <w:p w14:paraId="7C950B4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CDF1A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report</w:t>
                </w:r>
              </w:p>
            </w:tc>
          </w:tr>
          <w:tr w:rsidR="000E2BB3" w14:paraId="7FAB311A" w14:textId="77777777">
            <w:trPr>
              <w:jc w:val="center"/>
            </w:trPr>
            <w:tc>
              <w:tcPr>
                <w:tcW w:w="5112" w:type="dxa"/>
                <w:shd w:val="clear" w:color="auto" w:fill="FFF2CB"/>
                <w:vAlign w:val="center"/>
              </w:tcPr>
              <w:p w14:paraId="51490E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ABB54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41FC20CE" w14:textId="77777777">
            <w:trPr>
              <w:jc w:val="center"/>
            </w:trPr>
            <w:tc>
              <w:tcPr>
                <w:tcW w:w="5112" w:type="dxa"/>
                <w:shd w:val="clear" w:color="auto" w:fill="FFF2CB"/>
                <w:vAlign w:val="center"/>
              </w:tcPr>
              <w:p w14:paraId="6587B9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Authority / Credibility (Expertise &amp; publication quality)</w:t>
                </w:r>
              </w:p>
            </w:tc>
            <w:tc>
              <w:tcPr>
                <w:tcW w:w="5112" w:type="dxa"/>
                <w:vAlign w:val="center"/>
              </w:tcPr>
              <w:p w14:paraId="22EB8F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Ontario privacy commissioner; widely adopted</w:t>
                </w:r>
              </w:p>
            </w:tc>
          </w:tr>
          <w:tr w:rsidR="000E2BB3" w14:paraId="322FA943" w14:textId="77777777">
            <w:trPr>
              <w:jc w:val="center"/>
            </w:trPr>
            <w:tc>
              <w:tcPr>
                <w:tcW w:w="5112" w:type="dxa"/>
                <w:shd w:val="clear" w:color="auto" w:fill="FFF2CB"/>
                <w:vAlign w:val="center"/>
              </w:tcPr>
              <w:p w14:paraId="008345C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71957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High-level principles</w:t>
                </w:r>
              </w:p>
            </w:tc>
          </w:tr>
          <w:tr w:rsidR="000E2BB3" w14:paraId="22158604" w14:textId="77777777">
            <w:trPr>
              <w:jc w:val="center"/>
            </w:trPr>
            <w:tc>
              <w:tcPr>
                <w:tcW w:w="5112" w:type="dxa"/>
                <w:shd w:val="clear" w:color="auto" w:fill="FFF2CB"/>
                <w:vAlign w:val="center"/>
              </w:tcPr>
              <w:p w14:paraId="697D375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3C11A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EC3093E" w14:textId="77777777" w:rsidR="000E2BB3" w:rsidRDefault="000E2BB3">
          <w:pPr>
            <w:rPr>
              <w:rFonts w:ascii="Times New Roman" w:eastAsia="Times New Roman" w:hAnsi="Times New Roman" w:cs="Times New Roman"/>
            </w:rPr>
          </w:pPr>
        </w:p>
        <w:p w14:paraId="0B46556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75:</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7399C7B" w14:textId="77777777">
            <w:trPr>
              <w:jc w:val="center"/>
            </w:trPr>
            <w:tc>
              <w:tcPr>
                <w:tcW w:w="5112" w:type="dxa"/>
                <w:shd w:val="clear" w:color="auto" w:fill="FFF2CB"/>
                <w:vAlign w:val="center"/>
              </w:tcPr>
              <w:p w14:paraId="244848D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041FE8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AI governance profession report 2025; R. Sentinella et al. (IAPP, Credo AI); 2025</w:t>
                </w:r>
              </w:p>
            </w:tc>
          </w:tr>
          <w:tr w:rsidR="000E2BB3" w14:paraId="7110393D" w14:textId="77777777">
            <w:trPr>
              <w:jc w:val="center"/>
            </w:trPr>
            <w:tc>
              <w:tcPr>
                <w:tcW w:w="5112" w:type="dxa"/>
                <w:shd w:val="clear" w:color="auto" w:fill="FFF2CB"/>
                <w:vAlign w:val="center"/>
              </w:tcPr>
              <w:p w14:paraId="5834F6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02E046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Professional publication</w:t>
                </w:r>
              </w:p>
            </w:tc>
          </w:tr>
          <w:tr w:rsidR="000E2BB3" w14:paraId="00DB210F" w14:textId="77777777">
            <w:trPr>
              <w:jc w:val="center"/>
            </w:trPr>
            <w:tc>
              <w:tcPr>
                <w:tcW w:w="5112" w:type="dxa"/>
                <w:shd w:val="clear" w:color="auto" w:fill="FFF2CB"/>
                <w:vAlign w:val="center"/>
              </w:tcPr>
              <w:p w14:paraId="1670D7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0207D09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3B62A12E" w14:textId="77777777">
            <w:trPr>
              <w:jc w:val="center"/>
            </w:trPr>
            <w:tc>
              <w:tcPr>
                <w:tcW w:w="5112" w:type="dxa"/>
                <w:shd w:val="clear" w:color="auto" w:fill="FFF2CB"/>
                <w:vAlign w:val="center"/>
              </w:tcPr>
              <w:p w14:paraId="718FDF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378D1B7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Leading privacy professional association</w:t>
                </w:r>
              </w:p>
            </w:tc>
          </w:tr>
          <w:tr w:rsidR="000E2BB3" w14:paraId="7FA72C31" w14:textId="77777777">
            <w:trPr>
              <w:jc w:val="center"/>
            </w:trPr>
            <w:tc>
              <w:tcPr>
                <w:tcW w:w="5112" w:type="dxa"/>
                <w:shd w:val="clear" w:color="auto" w:fill="FFF2CB"/>
                <w:vAlign w:val="center"/>
              </w:tcPr>
              <w:p w14:paraId="51CE47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71986D5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Survey self-report; co-published with a vendor</w:t>
                </w:r>
              </w:p>
            </w:tc>
          </w:tr>
          <w:tr w:rsidR="000E2BB3" w14:paraId="4B611089" w14:textId="77777777">
            <w:trPr>
              <w:jc w:val="center"/>
            </w:trPr>
            <w:tc>
              <w:tcPr>
                <w:tcW w:w="5112" w:type="dxa"/>
                <w:shd w:val="clear" w:color="auto" w:fill="FFF2CB"/>
                <w:vAlign w:val="center"/>
              </w:tcPr>
              <w:p w14:paraId="4B575D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1AE6B8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65C42B76" w14:textId="77777777" w:rsidR="000E2BB3" w:rsidRDefault="000E2BB3">
          <w:pPr>
            <w:rPr>
              <w:rFonts w:ascii="Times New Roman" w:eastAsia="Times New Roman" w:hAnsi="Times New Roman" w:cs="Times New Roman"/>
            </w:rPr>
          </w:pPr>
        </w:p>
        <w:p w14:paraId="31C449F3"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76:</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277196CD" w14:textId="77777777">
            <w:trPr>
              <w:jc w:val="center"/>
            </w:trPr>
            <w:tc>
              <w:tcPr>
                <w:tcW w:w="5112" w:type="dxa"/>
                <w:shd w:val="clear" w:color="auto" w:fill="FFF2CB"/>
                <w:vAlign w:val="center"/>
              </w:tcPr>
              <w:p w14:paraId="5255C1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EE6630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Magic Quadrant for data and analytics governance platforms; G. De Simoni et al. (Gartner); 2025</w:t>
                </w:r>
              </w:p>
            </w:tc>
          </w:tr>
          <w:tr w:rsidR="000E2BB3" w14:paraId="7D51FF81" w14:textId="77777777">
            <w:trPr>
              <w:jc w:val="center"/>
            </w:trPr>
            <w:tc>
              <w:tcPr>
                <w:tcW w:w="5112" w:type="dxa"/>
                <w:shd w:val="clear" w:color="auto" w:fill="FFF2CB"/>
                <w:vAlign w:val="center"/>
              </w:tcPr>
              <w:p w14:paraId="4BB3041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2DB113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Trade publication</w:t>
                </w:r>
              </w:p>
            </w:tc>
          </w:tr>
          <w:tr w:rsidR="000E2BB3" w14:paraId="3F631530" w14:textId="77777777">
            <w:trPr>
              <w:jc w:val="center"/>
            </w:trPr>
            <w:tc>
              <w:tcPr>
                <w:tcW w:w="5112" w:type="dxa"/>
                <w:shd w:val="clear" w:color="auto" w:fill="FFF2CB"/>
                <w:vAlign w:val="center"/>
              </w:tcPr>
              <w:p w14:paraId="4DC3FC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2ABAE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Partial</w:t>
                </w:r>
              </w:p>
            </w:tc>
          </w:tr>
          <w:tr w:rsidR="000E2BB3" w14:paraId="7EB60D0E" w14:textId="77777777">
            <w:trPr>
              <w:jc w:val="center"/>
            </w:trPr>
            <w:tc>
              <w:tcPr>
                <w:tcW w:w="5112" w:type="dxa"/>
                <w:shd w:val="clear" w:color="auto" w:fill="FFF2CB"/>
                <w:vAlign w:val="center"/>
              </w:tcPr>
              <w:p w14:paraId="5730B0C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1FA69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Leading analyst firm</w:t>
                </w:r>
              </w:p>
            </w:tc>
          </w:tr>
          <w:tr w:rsidR="000E2BB3" w14:paraId="6E98DD8C" w14:textId="77777777">
            <w:trPr>
              <w:jc w:val="center"/>
            </w:trPr>
            <w:tc>
              <w:tcPr>
                <w:tcW w:w="5112" w:type="dxa"/>
                <w:shd w:val="clear" w:color="auto" w:fill="FFF2CB"/>
                <w:vAlign w:val="center"/>
              </w:tcPr>
              <w:p w14:paraId="291FDD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467416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Proprietary method; vendor-funded ecosystem</w:t>
                </w:r>
              </w:p>
            </w:tc>
          </w:tr>
          <w:tr w:rsidR="000E2BB3" w14:paraId="74BC2FCD" w14:textId="77777777">
            <w:trPr>
              <w:jc w:val="center"/>
            </w:trPr>
            <w:tc>
              <w:tcPr>
                <w:tcW w:w="5112" w:type="dxa"/>
                <w:shd w:val="clear" w:color="auto" w:fill="FFF2CB"/>
                <w:vAlign w:val="center"/>
              </w:tcPr>
              <w:p w14:paraId="797826F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117C9D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282CAFF" w14:textId="77777777" w:rsidR="000E2BB3" w:rsidRDefault="000E2BB3">
          <w:pPr>
            <w:rPr>
              <w:rFonts w:ascii="Times New Roman" w:eastAsia="Times New Roman" w:hAnsi="Times New Roman" w:cs="Times New Roman"/>
            </w:rPr>
          </w:pPr>
        </w:p>
        <w:p w14:paraId="1EB29EB0"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77:</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73CE0981" w14:textId="77777777">
            <w:trPr>
              <w:jc w:val="center"/>
            </w:trPr>
            <w:tc>
              <w:tcPr>
                <w:tcW w:w="5112" w:type="dxa"/>
                <w:shd w:val="clear" w:color="auto" w:fill="FFF2CB"/>
                <w:vAlign w:val="center"/>
              </w:tcPr>
              <w:p w14:paraId="457E77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FC56C0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Auto-classification in OpenMetadata (v2.0.x); OpenMetadata; 2026</w:t>
                </w:r>
              </w:p>
            </w:tc>
          </w:tr>
          <w:tr w:rsidR="000E2BB3" w14:paraId="4BDE7432" w14:textId="77777777">
            <w:trPr>
              <w:jc w:val="center"/>
            </w:trPr>
            <w:tc>
              <w:tcPr>
                <w:tcW w:w="5112" w:type="dxa"/>
                <w:shd w:val="clear" w:color="auto" w:fill="FFF2CB"/>
                <w:vAlign w:val="center"/>
              </w:tcPr>
              <w:p w14:paraId="424F863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FDC92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documentation</w:t>
                </w:r>
              </w:p>
            </w:tc>
          </w:tr>
          <w:tr w:rsidR="000E2BB3" w14:paraId="4CE4D089" w14:textId="77777777">
            <w:trPr>
              <w:jc w:val="center"/>
            </w:trPr>
            <w:tc>
              <w:tcPr>
                <w:tcW w:w="5112" w:type="dxa"/>
                <w:shd w:val="clear" w:color="auto" w:fill="FFF2CB"/>
                <w:vAlign w:val="center"/>
              </w:tcPr>
              <w:p w14:paraId="301C803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Relevance (Direct, partial, low)</w:t>
                </w:r>
              </w:p>
            </w:tc>
            <w:tc>
              <w:tcPr>
                <w:tcW w:w="5112" w:type="dxa"/>
                <w:vAlign w:val="center"/>
              </w:tcPr>
              <w:p w14:paraId="506EFC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2D820B2" w14:textId="77777777">
            <w:trPr>
              <w:jc w:val="center"/>
            </w:trPr>
            <w:tc>
              <w:tcPr>
                <w:tcW w:w="5112" w:type="dxa"/>
                <w:shd w:val="clear" w:color="auto" w:fill="FFF2CB"/>
                <w:vAlign w:val="center"/>
              </w:tcPr>
              <w:p w14:paraId="0120FA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9490F2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product documentation</w:t>
                </w:r>
              </w:p>
            </w:tc>
          </w:tr>
          <w:tr w:rsidR="000E2BB3" w14:paraId="30562701" w14:textId="77777777">
            <w:trPr>
              <w:jc w:val="center"/>
            </w:trPr>
            <w:tc>
              <w:tcPr>
                <w:tcW w:w="5112" w:type="dxa"/>
                <w:shd w:val="clear" w:color="auto" w:fill="FFF2CB"/>
                <w:vAlign w:val="center"/>
              </w:tcPr>
              <w:p w14:paraId="286B08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D30486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 behaviour verified in the POC</w:t>
                </w:r>
              </w:p>
            </w:tc>
          </w:tr>
          <w:tr w:rsidR="000E2BB3" w14:paraId="7D5488F2" w14:textId="77777777">
            <w:trPr>
              <w:jc w:val="center"/>
            </w:trPr>
            <w:tc>
              <w:tcPr>
                <w:tcW w:w="5112" w:type="dxa"/>
                <w:shd w:val="clear" w:color="auto" w:fill="FFF2CB"/>
                <w:vAlign w:val="center"/>
              </w:tcPr>
              <w:p w14:paraId="742322C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2FB4A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2F169CE9" w14:textId="77777777" w:rsidR="000E2BB3" w:rsidRDefault="000E2BB3">
          <w:pPr>
            <w:rPr>
              <w:rFonts w:ascii="Times New Roman" w:eastAsia="Times New Roman" w:hAnsi="Times New Roman" w:cs="Times New Roman"/>
            </w:rPr>
          </w:pPr>
        </w:p>
        <w:p w14:paraId="118E5DC1"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78:</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4383FB55" w14:textId="77777777">
            <w:trPr>
              <w:jc w:val="center"/>
            </w:trPr>
            <w:tc>
              <w:tcPr>
                <w:tcW w:w="5112" w:type="dxa"/>
                <w:shd w:val="clear" w:color="auto" w:fill="FFF2CB"/>
                <w:vAlign w:val="center"/>
              </w:tcPr>
              <w:p w14:paraId="1DAF77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F77019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guide for roles and policies (v2.0.x); OpenMetadata; 2026</w:t>
                </w:r>
              </w:p>
            </w:tc>
          </w:tr>
          <w:tr w:rsidR="000E2BB3" w14:paraId="2C491DBE" w14:textId="77777777">
            <w:trPr>
              <w:jc w:val="center"/>
            </w:trPr>
            <w:tc>
              <w:tcPr>
                <w:tcW w:w="5112" w:type="dxa"/>
                <w:shd w:val="clear" w:color="auto" w:fill="FFF2CB"/>
                <w:vAlign w:val="center"/>
              </w:tcPr>
              <w:p w14:paraId="394DB5A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53FD1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documentation</w:t>
                </w:r>
              </w:p>
            </w:tc>
          </w:tr>
          <w:tr w:rsidR="000E2BB3" w14:paraId="0B699C44" w14:textId="77777777">
            <w:trPr>
              <w:jc w:val="center"/>
            </w:trPr>
            <w:tc>
              <w:tcPr>
                <w:tcW w:w="5112" w:type="dxa"/>
                <w:shd w:val="clear" w:color="auto" w:fill="FFF2CB"/>
                <w:vAlign w:val="center"/>
              </w:tcPr>
              <w:p w14:paraId="0C06CCE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7BEE98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4C3F134" w14:textId="77777777">
            <w:trPr>
              <w:jc w:val="center"/>
            </w:trPr>
            <w:tc>
              <w:tcPr>
                <w:tcW w:w="5112" w:type="dxa"/>
                <w:shd w:val="clear" w:color="auto" w:fill="FFF2CB"/>
                <w:vAlign w:val="center"/>
              </w:tcPr>
              <w:p w14:paraId="6D9C86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28DE57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product documentation</w:t>
                </w:r>
              </w:p>
            </w:tc>
          </w:tr>
          <w:tr w:rsidR="000E2BB3" w14:paraId="3A853DC1" w14:textId="77777777">
            <w:trPr>
              <w:jc w:val="center"/>
            </w:trPr>
            <w:tc>
              <w:tcPr>
                <w:tcW w:w="5112" w:type="dxa"/>
                <w:shd w:val="clear" w:color="auto" w:fill="FFF2CB"/>
                <w:vAlign w:val="center"/>
              </w:tcPr>
              <w:p w14:paraId="1C09422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2A3B28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r>
          <w:tr w:rsidR="000E2BB3" w14:paraId="49F98FA3" w14:textId="77777777">
            <w:trPr>
              <w:jc w:val="center"/>
            </w:trPr>
            <w:tc>
              <w:tcPr>
                <w:tcW w:w="5112" w:type="dxa"/>
                <w:shd w:val="clear" w:color="auto" w:fill="FFF2CB"/>
                <w:vAlign w:val="center"/>
              </w:tcPr>
              <w:p w14:paraId="249EE8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F50632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608356A" w14:textId="77777777" w:rsidR="000E2BB3" w:rsidRDefault="000E2BB3">
          <w:pPr>
            <w:rPr>
              <w:rFonts w:ascii="Times New Roman" w:eastAsia="Times New Roman" w:hAnsi="Times New Roman" w:cs="Times New Roman"/>
            </w:rPr>
          </w:pPr>
        </w:p>
        <w:p w14:paraId="03F5C4C8"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79:</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A332D40" w14:textId="77777777">
            <w:trPr>
              <w:jc w:val="center"/>
            </w:trPr>
            <w:tc>
              <w:tcPr>
                <w:tcW w:w="5112" w:type="dxa"/>
                <w:shd w:val="clear" w:color="auto" w:fill="FFF2CB"/>
                <w:vAlign w:val="center"/>
              </w:tcPr>
              <w:p w14:paraId="068AD2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16BFE1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contract specification (v2.0.x); OpenMetadata; 2026</w:t>
                </w:r>
              </w:p>
            </w:tc>
          </w:tr>
          <w:tr w:rsidR="000E2BB3" w14:paraId="79BB6165" w14:textId="77777777">
            <w:trPr>
              <w:jc w:val="center"/>
            </w:trPr>
            <w:tc>
              <w:tcPr>
                <w:tcW w:w="5112" w:type="dxa"/>
                <w:shd w:val="clear" w:color="auto" w:fill="FFF2CB"/>
                <w:vAlign w:val="center"/>
              </w:tcPr>
              <w:p w14:paraId="785BC7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740B8A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documentation</w:t>
                </w:r>
              </w:p>
            </w:tc>
          </w:tr>
          <w:tr w:rsidR="000E2BB3" w14:paraId="1294702A" w14:textId="77777777">
            <w:trPr>
              <w:jc w:val="center"/>
            </w:trPr>
            <w:tc>
              <w:tcPr>
                <w:tcW w:w="5112" w:type="dxa"/>
                <w:shd w:val="clear" w:color="auto" w:fill="FFF2CB"/>
                <w:vAlign w:val="center"/>
              </w:tcPr>
              <w:p w14:paraId="24944F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68C2C1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74234B95" w14:textId="77777777">
            <w:trPr>
              <w:jc w:val="center"/>
            </w:trPr>
            <w:tc>
              <w:tcPr>
                <w:tcW w:w="5112" w:type="dxa"/>
                <w:shd w:val="clear" w:color="auto" w:fill="FFF2CB"/>
                <w:vAlign w:val="center"/>
              </w:tcPr>
              <w:p w14:paraId="639FC1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2C254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product documentation</w:t>
                </w:r>
              </w:p>
            </w:tc>
          </w:tr>
          <w:tr w:rsidR="000E2BB3" w14:paraId="71FEAC76" w14:textId="77777777">
            <w:trPr>
              <w:jc w:val="center"/>
            </w:trPr>
            <w:tc>
              <w:tcPr>
                <w:tcW w:w="5112" w:type="dxa"/>
                <w:shd w:val="clear" w:color="auto" w:fill="FFF2CB"/>
                <w:vAlign w:val="center"/>
              </w:tcPr>
              <w:p w14:paraId="091797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690EA5E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r>
          <w:tr w:rsidR="000E2BB3" w14:paraId="29CB69B6" w14:textId="77777777">
            <w:trPr>
              <w:jc w:val="center"/>
            </w:trPr>
            <w:tc>
              <w:tcPr>
                <w:tcW w:w="5112" w:type="dxa"/>
                <w:shd w:val="clear" w:color="auto" w:fill="FFF2CB"/>
                <w:vAlign w:val="center"/>
              </w:tcPr>
              <w:p w14:paraId="522B11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593D90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7BA326AF" w14:textId="77777777" w:rsidR="000E2BB3" w:rsidRDefault="000E2BB3">
          <w:pPr>
            <w:rPr>
              <w:rFonts w:ascii="Times New Roman" w:eastAsia="Times New Roman" w:hAnsi="Times New Roman" w:cs="Times New Roman"/>
            </w:rPr>
          </w:pPr>
        </w:p>
        <w:p w14:paraId="3D0FF0ED"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80:</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CAA4CA4" w14:textId="77777777">
            <w:trPr>
              <w:jc w:val="center"/>
            </w:trPr>
            <w:tc>
              <w:tcPr>
                <w:tcW w:w="5112" w:type="dxa"/>
                <w:shd w:val="clear" w:color="auto" w:fill="FFF2CB"/>
                <w:vAlign w:val="center"/>
              </w:tcPr>
              <w:p w14:paraId="279A766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6BBD6A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MCP server (v2.0.x); OpenMetadata; 2026</w:t>
                </w:r>
              </w:p>
            </w:tc>
          </w:tr>
          <w:tr w:rsidR="000E2BB3" w14:paraId="11A5F577" w14:textId="77777777">
            <w:trPr>
              <w:jc w:val="center"/>
            </w:trPr>
            <w:tc>
              <w:tcPr>
                <w:tcW w:w="5112" w:type="dxa"/>
                <w:shd w:val="clear" w:color="auto" w:fill="FFF2CB"/>
                <w:vAlign w:val="center"/>
              </w:tcPr>
              <w:p w14:paraId="0C4B21B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Source Category (Journal, standard, report)</w:t>
                </w:r>
              </w:p>
            </w:tc>
            <w:tc>
              <w:tcPr>
                <w:tcW w:w="5112" w:type="dxa"/>
                <w:vAlign w:val="center"/>
              </w:tcPr>
              <w:p w14:paraId="395875A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documentation</w:t>
                </w:r>
              </w:p>
            </w:tc>
          </w:tr>
          <w:tr w:rsidR="000E2BB3" w14:paraId="0CE4EEC1" w14:textId="77777777">
            <w:trPr>
              <w:jc w:val="center"/>
            </w:trPr>
            <w:tc>
              <w:tcPr>
                <w:tcW w:w="5112" w:type="dxa"/>
                <w:shd w:val="clear" w:color="auto" w:fill="FFF2CB"/>
                <w:vAlign w:val="center"/>
              </w:tcPr>
              <w:p w14:paraId="26C6846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28D19F9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09F3CF38" w14:textId="77777777">
            <w:trPr>
              <w:jc w:val="center"/>
            </w:trPr>
            <w:tc>
              <w:tcPr>
                <w:tcW w:w="5112" w:type="dxa"/>
                <w:shd w:val="clear" w:color="auto" w:fill="FFF2CB"/>
                <w:vAlign w:val="center"/>
              </w:tcPr>
              <w:p w14:paraId="45A815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5C56D34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product documentation</w:t>
                </w:r>
              </w:p>
            </w:tc>
          </w:tr>
          <w:tr w:rsidR="000E2BB3" w14:paraId="5E415B9C" w14:textId="77777777">
            <w:trPr>
              <w:jc w:val="center"/>
            </w:trPr>
            <w:tc>
              <w:tcPr>
                <w:tcW w:w="5112" w:type="dxa"/>
                <w:shd w:val="clear" w:color="auto" w:fill="FFF2CB"/>
                <w:vAlign w:val="center"/>
              </w:tcPr>
              <w:p w14:paraId="69613FF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2DF5E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r>
          <w:tr w:rsidR="000E2BB3" w14:paraId="0A308BFD" w14:textId="77777777">
            <w:trPr>
              <w:jc w:val="center"/>
            </w:trPr>
            <w:tc>
              <w:tcPr>
                <w:tcW w:w="5112" w:type="dxa"/>
                <w:shd w:val="clear" w:color="auto" w:fill="FFF2CB"/>
                <w:vAlign w:val="center"/>
              </w:tcPr>
              <w:p w14:paraId="0C6454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0002E5A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0377205D" w14:textId="77777777" w:rsidR="000E2BB3" w:rsidRDefault="000E2BB3">
          <w:pPr>
            <w:rPr>
              <w:rFonts w:ascii="Times New Roman" w:eastAsia="Times New Roman" w:hAnsi="Times New Roman" w:cs="Times New Roman"/>
            </w:rPr>
          </w:pPr>
        </w:p>
        <w:p w14:paraId="0C213A9F"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81:</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37143E82" w14:textId="77777777">
            <w:trPr>
              <w:jc w:val="center"/>
            </w:trPr>
            <w:tc>
              <w:tcPr>
                <w:tcW w:w="5112" w:type="dxa"/>
                <w:shd w:val="clear" w:color="auto" w:fill="FFF2CB"/>
                <w:vAlign w:val="center"/>
              </w:tcPr>
              <w:p w14:paraId="71D28D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59BDA5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OpenMetadata 2.0.5 source, ingestion/src/metadata/workflow/classification.py; OpenMetadata contributors; 2026</w:t>
                </w:r>
              </w:p>
            </w:tc>
          </w:tr>
          <w:tr w:rsidR="000E2BB3" w14:paraId="2EA465F2" w14:textId="77777777">
            <w:trPr>
              <w:jc w:val="center"/>
            </w:trPr>
            <w:tc>
              <w:tcPr>
                <w:tcW w:w="5112" w:type="dxa"/>
                <w:shd w:val="clear" w:color="auto" w:fill="FFF2CB"/>
                <w:vAlign w:val="center"/>
              </w:tcPr>
              <w:p w14:paraId="1EAEC13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313739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code (primary evidence)</w:t>
                </w:r>
              </w:p>
            </w:tc>
          </w:tr>
          <w:tr w:rsidR="000E2BB3" w14:paraId="52DB1505" w14:textId="77777777">
            <w:trPr>
              <w:jc w:val="center"/>
            </w:trPr>
            <w:tc>
              <w:tcPr>
                <w:tcW w:w="5112" w:type="dxa"/>
                <w:shd w:val="clear" w:color="auto" w:fill="FFF2CB"/>
                <w:vAlign w:val="center"/>
              </w:tcPr>
              <w:p w14:paraId="73E7B4F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1B16C0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259031DE" w14:textId="77777777">
            <w:trPr>
              <w:jc w:val="center"/>
            </w:trPr>
            <w:tc>
              <w:tcPr>
                <w:tcW w:w="5112" w:type="dxa"/>
                <w:shd w:val="clear" w:color="auto" w:fill="FFF2CB"/>
                <w:vAlign w:val="center"/>
              </w:tcPr>
              <w:p w14:paraId="39C2479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6D425A5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release tag</w:t>
                </w:r>
              </w:p>
            </w:tc>
          </w:tr>
          <w:tr w:rsidR="000E2BB3" w14:paraId="6C8AD959" w14:textId="77777777">
            <w:trPr>
              <w:jc w:val="center"/>
            </w:trPr>
            <w:tc>
              <w:tcPr>
                <w:tcW w:w="5112" w:type="dxa"/>
                <w:shd w:val="clear" w:color="auto" w:fill="FFF2CB"/>
                <w:vAlign w:val="center"/>
              </w:tcPr>
              <w:p w14:paraId="27D5D3F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513154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Behaviour may change in later releases</w:t>
                </w:r>
              </w:p>
            </w:tc>
          </w:tr>
          <w:tr w:rsidR="000E2BB3" w14:paraId="55DEB31B" w14:textId="77777777">
            <w:trPr>
              <w:jc w:val="center"/>
            </w:trPr>
            <w:tc>
              <w:tcPr>
                <w:tcW w:w="5112" w:type="dxa"/>
                <w:shd w:val="clear" w:color="auto" w:fill="FFF2CB"/>
                <w:vAlign w:val="center"/>
              </w:tcPr>
              <w:p w14:paraId="25C11D6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7C90B0E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p w14:paraId="5B89E6F4" w14:textId="77777777" w:rsidR="000E2BB3" w:rsidRDefault="000E2BB3">
          <w:pPr>
            <w:rPr>
              <w:rFonts w:ascii="Times New Roman" w:eastAsia="Times New Roman" w:hAnsi="Times New Roman" w:cs="Times New Roman"/>
            </w:rPr>
          </w:pPr>
        </w:p>
        <w:p w14:paraId="546DF7CE" w14:textId="77777777" w:rsidR="000E2BB3" w:rsidRDefault="00000000">
          <w:pPr>
            <w:numPr>
              <w:ilvl w:val="0"/>
              <w:numId w:val="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Evidence 82:</w:t>
          </w:r>
        </w:p>
        <w:tbl>
          <w:tblPr>
            <w:tblStyle w:val="a9"/>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2"/>
            <w:gridCol w:w="5112"/>
          </w:tblGrid>
          <w:tr w:rsidR="000E2BB3" w14:paraId="5A255C2D" w14:textId="77777777">
            <w:trPr>
              <w:jc w:val="center"/>
            </w:trPr>
            <w:tc>
              <w:tcPr>
                <w:tcW w:w="5112" w:type="dxa"/>
                <w:shd w:val="clear" w:color="auto" w:fill="FFF2CB"/>
                <w:vAlign w:val="center"/>
              </w:tcPr>
              <w:p w14:paraId="19C879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Identification (Title, Authors, Year)</w:t>
                </w:r>
              </w:p>
            </w:tc>
            <w:tc>
              <w:tcPr>
                <w:tcW w:w="5112" w:type="dxa"/>
                <w:vAlign w:val="center"/>
              </w:tcPr>
              <w:p w14:paraId="3AEABB6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Presidio: Data protection and de-identification SDK; Microsoft; 2026</w:t>
                </w:r>
              </w:p>
            </w:tc>
          </w:tr>
          <w:tr w:rsidR="000E2BB3" w14:paraId="0CA07ADF" w14:textId="77777777">
            <w:trPr>
              <w:jc w:val="center"/>
            </w:trPr>
            <w:tc>
              <w:tcPr>
                <w:tcW w:w="5112" w:type="dxa"/>
                <w:shd w:val="clear" w:color="auto" w:fill="FFF2CB"/>
                <w:vAlign w:val="center"/>
              </w:tcPr>
              <w:p w14:paraId="664E15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 Category (Journal, standard, report)</w:t>
                </w:r>
              </w:p>
            </w:tc>
            <w:tc>
              <w:tcPr>
                <w:tcW w:w="5112" w:type="dxa"/>
                <w:vAlign w:val="center"/>
              </w:tcPr>
              <w:p w14:paraId="5CA6F8B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documentation</w:t>
                </w:r>
              </w:p>
            </w:tc>
          </w:tr>
          <w:tr w:rsidR="000E2BB3" w14:paraId="5D288074" w14:textId="77777777">
            <w:trPr>
              <w:jc w:val="center"/>
            </w:trPr>
            <w:tc>
              <w:tcPr>
                <w:tcW w:w="5112" w:type="dxa"/>
                <w:shd w:val="clear" w:color="auto" w:fill="FFF2CB"/>
                <w:vAlign w:val="center"/>
              </w:tcPr>
              <w:p w14:paraId="039670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Relevance (Direct, partial, low)</w:t>
                </w:r>
              </w:p>
            </w:tc>
            <w:tc>
              <w:tcPr>
                <w:tcW w:w="5112" w:type="dxa"/>
                <w:vAlign w:val="center"/>
              </w:tcPr>
              <w:p w14:paraId="3D5ABD9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Direct</w:t>
                </w:r>
              </w:p>
            </w:tc>
          </w:tr>
          <w:tr w:rsidR="000E2BB3" w14:paraId="3A9AD92D" w14:textId="77777777">
            <w:trPr>
              <w:jc w:val="center"/>
            </w:trPr>
            <w:tc>
              <w:tcPr>
                <w:tcW w:w="5112" w:type="dxa"/>
                <w:shd w:val="clear" w:color="auto" w:fill="FFF2CB"/>
                <w:vAlign w:val="center"/>
              </w:tcPr>
              <w:p w14:paraId="75D4D53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Authority / Credibility (Expertise &amp; publication quality)</w:t>
                </w:r>
              </w:p>
            </w:tc>
            <w:tc>
              <w:tcPr>
                <w:tcW w:w="5112" w:type="dxa"/>
                <w:vAlign w:val="center"/>
              </w:tcPr>
              <w:p w14:paraId="0105124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open-source project documentation</w:t>
                </w:r>
              </w:p>
            </w:tc>
          </w:tr>
          <w:tr w:rsidR="000E2BB3" w14:paraId="00968044" w14:textId="77777777">
            <w:trPr>
              <w:jc w:val="center"/>
            </w:trPr>
            <w:tc>
              <w:tcPr>
                <w:tcW w:w="5112" w:type="dxa"/>
                <w:shd w:val="clear" w:color="auto" w:fill="FFF2CB"/>
                <w:vAlign w:val="center"/>
              </w:tcPr>
              <w:p w14:paraId="618A73B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Bias / Limitations (Identified concerns)</w:t>
                </w:r>
              </w:p>
            </w:tc>
            <w:tc>
              <w:tcPr>
                <w:tcW w:w="5112" w:type="dxa"/>
                <w:vAlign w:val="center"/>
              </w:tcPr>
              <w:p w14:paraId="1785BC5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r>
          <w:tr w:rsidR="000E2BB3" w14:paraId="4A33CA43" w14:textId="77777777">
            <w:trPr>
              <w:jc w:val="center"/>
            </w:trPr>
            <w:tc>
              <w:tcPr>
                <w:tcW w:w="5112" w:type="dxa"/>
                <w:shd w:val="clear" w:color="auto" w:fill="FFF2CB"/>
                <w:vAlign w:val="center"/>
              </w:tcPr>
              <w:p w14:paraId="28C3687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Screening Decision (Include / Exclude / Pending)</w:t>
                </w:r>
              </w:p>
            </w:tc>
            <w:tc>
              <w:tcPr>
                <w:tcW w:w="5112" w:type="dxa"/>
                <w:vAlign w:val="center"/>
              </w:tcPr>
              <w:p w14:paraId="6B8AE30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Include</w:t>
                </w:r>
              </w:p>
            </w:tc>
          </w:tr>
        </w:tbl>
      </w:sdtContent>
    </w:sdt>
    <w:p w14:paraId="3FE3383E" w14:textId="77777777" w:rsidR="000E2BB3" w:rsidRDefault="000E2BB3">
      <w:pPr>
        <w:rPr>
          <w:rFonts w:ascii="Times New Roman" w:eastAsia="Times New Roman" w:hAnsi="Times New Roman" w:cs="Times New Roman"/>
        </w:rPr>
      </w:pPr>
    </w:p>
    <w:p w14:paraId="0AF17C71" w14:textId="77777777" w:rsidR="000E2BB3" w:rsidRDefault="00000000">
      <w:pPr>
        <w:pStyle w:val="Heading1"/>
        <w:numPr>
          <w:ilvl w:val="0"/>
          <w:numId w:val="1"/>
        </w:numPr>
        <w:rPr>
          <w:rFonts w:ascii="Times New Roman" w:eastAsia="Times New Roman" w:hAnsi="Times New Roman" w:cs="Times New Roman"/>
        </w:rPr>
      </w:pPr>
      <w:r>
        <w:rPr>
          <w:rFonts w:ascii="Times New Roman" w:eastAsia="Times New Roman" w:hAnsi="Times New Roman" w:cs="Times New Roman"/>
        </w:rPr>
        <w:lastRenderedPageBreak/>
        <w:t>Evidence Table</w:t>
      </w:r>
    </w:p>
    <w:p w14:paraId="6D3FAD53" w14:textId="77777777" w:rsidR="000E2BB3" w:rsidRDefault="00000000">
      <w:r>
        <w:t>Related Keywords: AI governance, Data governance, Banking, Risk, metadata, AI governance tool, Data security, data validation, software, AI coding, Ai governance in Banking, Finance AI governance:</w:t>
      </w:r>
    </w:p>
    <w:p w14:paraId="3EE944C9" w14:textId="77777777" w:rsidR="000E2BB3" w:rsidRDefault="000E2BB3"/>
    <w:tbl>
      <w:tblPr>
        <w:tblStyle w:val="ac"/>
        <w:tblW w:w="105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704"/>
        <w:gridCol w:w="1704"/>
        <w:gridCol w:w="1704"/>
        <w:gridCol w:w="1704"/>
        <w:gridCol w:w="1704"/>
        <w:gridCol w:w="1380"/>
      </w:tblGrid>
      <w:tr w:rsidR="000E2BB3" w14:paraId="0C26ECFE" w14:textId="77777777">
        <w:trPr>
          <w:jc w:val="center"/>
        </w:trPr>
        <w:tc>
          <w:tcPr>
            <w:tcW w:w="625" w:type="dxa"/>
            <w:shd w:val="clear" w:color="auto" w:fill="FFFF00"/>
          </w:tcPr>
          <w:p w14:paraId="1600A19F"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04" w:type="dxa"/>
            <w:shd w:val="clear" w:color="auto" w:fill="FFFF00"/>
            <w:vAlign w:val="center"/>
          </w:tcPr>
          <w:p w14:paraId="314518FE"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Source (Proper IEEE Citation)</w:t>
            </w:r>
          </w:p>
        </w:tc>
        <w:tc>
          <w:tcPr>
            <w:tcW w:w="1704" w:type="dxa"/>
            <w:shd w:val="clear" w:color="auto" w:fill="FFFF00"/>
            <w:vAlign w:val="center"/>
          </w:tcPr>
          <w:p w14:paraId="42DCA60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Objective</w:t>
            </w:r>
          </w:p>
        </w:tc>
        <w:tc>
          <w:tcPr>
            <w:tcW w:w="1704" w:type="dxa"/>
            <w:shd w:val="clear" w:color="auto" w:fill="FFFF00"/>
            <w:vAlign w:val="center"/>
          </w:tcPr>
          <w:p w14:paraId="25D97D7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Methods</w:t>
            </w:r>
          </w:p>
        </w:tc>
        <w:tc>
          <w:tcPr>
            <w:tcW w:w="1704" w:type="dxa"/>
            <w:shd w:val="clear" w:color="auto" w:fill="FFFF00"/>
            <w:vAlign w:val="center"/>
          </w:tcPr>
          <w:p w14:paraId="23AFC0F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Verified Findings</w:t>
            </w:r>
          </w:p>
        </w:tc>
        <w:tc>
          <w:tcPr>
            <w:tcW w:w="1704" w:type="dxa"/>
            <w:shd w:val="clear" w:color="auto" w:fill="FFFF00"/>
            <w:vAlign w:val="center"/>
          </w:tcPr>
          <w:p w14:paraId="288A58B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Limitations</w:t>
            </w:r>
          </w:p>
        </w:tc>
        <w:tc>
          <w:tcPr>
            <w:tcW w:w="1380" w:type="dxa"/>
            <w:shd w:val="clear" w:color="auto" w:fill="FFFF00"/>
            <w:vAlign w:val="center"/>
          </w:tcPr>
          <w:p w14:paraId="5E7A128F"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Emerging Theme</w:t>
            </w:r>
          </w:p>
        </w:tc>
      </w:tr>
      <w:tr w:rsidR="000E2BB3" w14:paraId="446AFD13" w14:textId="77777777">
        <w:trPr>
          <w:jc w:val="center"/>
        </w:trPr>
        <w:tc>
          <w:tcPr>
            <w:tcW w:w="625" w:type="dxa"/>
            <w:vAlign w:val="center"/>
          </w:tcPr>
          <w:p w14:paraId="4C5E751C" w14:textId="77777777" w:rsidR="000E2BB3" w:rsidRDefault="00000000">
            <w:pPr>
              <w:spacing w:before="80" w:after="80"/>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w:t>
            </w:r>
          </w:p>
        </w:tc>
        <w:tc>
          <w:tcPr>
            <w:tcW w:w="1704" w:type="dxa"/>
            <w:vAlign w:val="center"/>
          </w:tcPr>
          <w:p w14:paraId="5EBF8CC9" w14:textId="77777777" w:rsidR="000E2BB3" w:rsidRDefault="00000000">
            <w:pPr>
              <w:spacing w:before="80" w:after="80"/>
              <w:rPr>
                <w:rFonts w:ascii="Times New Roman" w:eastAsia="Times New Roman" w:hAnsi="Times New Roman" w:cs="Times New Roman"/>
              </w:rPr>
            </w:pPr>
            <w:proofErr w:type="spellStart"/>
            <w:r>
              <w:rPr>
                <w:rFonts w:ascii="Times New Roman" w:eastAsia="Times New Roman" w:hAnsi="Times New Roman" w:cs="Times New Roman"/>
                <w:sz w:val="24"/>
                <w:szCs w:val="24"/>
                <w:highlight w:val="white"/>
              </w:rPr>
              <w:t>Backbase</w:t>
            </w:r>
            <w:proofErr w:type="spellEnd"/>
            <w:r>
              <w:rPr>
                <w:rFonts w:ascii="Times New Roman" w:eastAsia="Times New Roman" w:hAnsi="Times New Roman" w:cs="Times New Roman"/>
                <w:sz w:val="24"/>
                <w:szCs w:val="24"/>
                <w:highlight w:val="white"/>
              </w:rPr>
              <w:t>. (2026).</w:t>
            </w:r>
            <w:r>
              <w:rPr>
                <w:rFonts w:ascii="Times New Roman" w:eastAsia="Times New Roman" w:hAnsi="Times New Roman" w:cs="Times New Roman"/>
                <w:highlight w:val="white"/>
              </w:rPr>
              <w:t xml:space="preserve"> </w:t>
            </w:r>
            <w:r>
              <w:rPr>
                <w:rFonts w:ascii="Times New Roman" w:eastAsia="Times New Roman" w:hAnsi="Times New Roman" w:cs="Times New Roman"/>
                <w:sz w:val="24"/>
                <w:szCs w:val="24"/>
                <w:highlight w:val="white"/>
              </w:rPr>
              <w:t>AI governance in banking: the complete guide for 2026</w:t>
            </w:r>
            <w:r>
              <w:rPr>
                <w:rFonts w:ascii="Times New Roman" w:eastAsia="Times New Roman" w:hAnsi="Times New Roman" w:cs="Times New Roman"/>
              </w:rPr>
              <w:t xml:space="preserve"> </w:t>
            </w:r>
          </w:p>
        </w:tc>
        <w:tc>
          <w:tcPr>
            <w:tcW w:w="1704" w:type="dxa"/>
            <w:vAlign w:val="center"/>
          </w:tcPr>
          <w:p w14:paraId="7588DE2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To explain AI governance risks in banking and provide guidance for implementing effective governance practices. </w:t>
            </w:r>
          </w:p>
        </w:tc>
        <w:tc>
          <w:tcPr>
            <w:tcW w:w="1704" w:type="dxa"/>
            <w:vAlign w:val="center"/>
          </w:tcPr>
          <w:p w14:paraId="1EBF3D8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Industry-based discussion and a five-step implementation guide. No original experimental research is presented. (Based on as the template for the group’s own solution </w:t>
            </w:r>
          </w:p>
        </w:tc>
        <w:tc>
          <w:tcPr>
            <w:tcW w:w="1704" w:type="dxa"/>
            <w:vAlign w:val="center"/>
          </w:tcPr>
          <w:p w14:paraId="29A9640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The article identifies data leakage, algorithmic bias, and model errors as AI risks. It recommends data quality checks, model validation, continuous monitoring, and audit trails. </w:t>
            </w:r>
          </w:p>
        </w:tc>
        <w:tc>
          <w:tcPr>
            <w:tcW w:w="1704" w:type="dxa"/>
            <w:vAlign w:val="center"/>
          </w:tcPr>
          <w:p w14:paraId="62701D0A"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Focuses on banking and does not provide original experimental evidence demonstrating the effectiveness of the proposed practices. </w:t>
            </w:r>
          </w:p>
        </w:tc>
        <w:tc>
          <w:tcPr>
            <w:tcW w:w="1380" w:type="dxa"/>
            <w:vAlign w:val="center"/>
          </w:tcPr>
          <w:p w14:paraId="0216EC1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AI Data Security, Data Validation, and Continuous Monitoring. </w:t>
            </w:r>
          </w:p>
        </w:tc>
      </w:tr>
      <w:tr w:rsidR="000E2BB3" w14:paraId="054FE9B9" w14:textId="77777777">
        <w:trPr>
          <w:jc w:val="center"/>
        </w:trPr>
        <w:tc>
          <w:tcPr>
            <w:tcW w:w="625" w:type="dxa"/>
            <w:vAlign w:val="center"/>
          </w:tcPr>
          <w:p w14:paraId="577BA4E2" w14:textId="77777777" w:rsidR="000E2BB3" w:rsidRDefault="00000000">
            <w:pPr>
              <w:spacing w:before="300" w:after="300"/>
              <w:jc w:val="center"/>
              <w:rPr>
                <w:rFonts w:ascii="Times New Roman" w:eastAsia="Times New Roman" w:hAnsi="Times New Roman" w:cs="Times New Roman"/>
              </w:rPr>
            </w:pPr>
            <w:r>
              <w:rPr>
                <w:rFonts w:ascii="Times New Roman" w:eastAsia="Times New Roman" w:hAnsi="Times New Roman" w:cs="Times New Roman"/>
              </w:rPr>
              <w:t>2</w:t>
            </w:r>
          </w:p>
        </w:tc>
        <w:tc>
          <w:tcPr>
            <w:tcW w:w="1704" w:type="dxa"/>
            <w:vAlign w:val="center"/>
          </w:tcPr>
          <w:p w14:paraId="3D7160EC" w14:textId="77777777" w:rsidR="000E2BB3" w:rsidRDefault="00000000">
            <w:pPr>
              <w:spacing w:before="300" w:after="300"/>
              <w:rPr>
                <w:rFonts w:ascii="Times New Roman" w:eastAsia="Times New Roman" w:hAnsi="Times New Roman" w:cs="Times New Roman"/>
              </w:rPr>
            </w:pPr>
            <w:r>
              <w:rPr>
                <w:rFonts w:ascii="Times New Roman" w:eastAsia="Times New Roman" w:hAnsi="Times New Roman" w:cs="Times New Roman"/>
              </w:rPr>
              <w:t xml:space="preserve">W. Yang, R. Fu, M. B. Amin, and B. Kang, "The Impact of Modern AI in Metadata Management," </w:t>
            </w:r>
            <w:r>
              <w:rPr>
                <w:rFonts w:ascii="Times New Roman" w:eastAsia="Times New Roman" w:hAnsi="Times New Roman" w:cs="Times New Roman"/>
                <w:i/>
                <w:iCs/>
              </w:rPr>
              <w:t>Human-Centric Intelligent Systems</w:t>
            </w:r>
            <w:r>
              <w:rPr>
                <w:rFonts w:ascii="Times New Roman" w:eastAsia="Times New Roman" w:hAnsi="Times New Roman" w:cs="Times New Roman"/>
              </w:rPr>
              <w:t xml:space="preserve">, vol. 5, pp. 323-350, Jul. 2025.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10.1007/s44230-025-00106-5</w:t>
            </w:r>
          </w:p>
          <w:p w14:paraId="41A00A03" w14:textId="77777777" w:rsidR="000E2BB3" w:rsidRDefault="000E2BB3">
            <w:pPr>
              <w:spacing w:before="80" w:after="80"/>
              <w:rPr>
                <w:rFonts w:ascii="Times New Roman" w:eastAsia="Times New Roman" w:hAnsi="Times New Roman" w:cs="Times New Roman"/>
              </w:rPr>
            </w:pPr>
          </w:p>
        </w:tc>
        <w:tc>
          <w:tcPr>
            <w:tcW w:w="1704" w:type="dxa"/>
            <w:vAlign w:val="center"/>
          </w:tcPr>
          <w:p w14:paraId="33ACEB7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To analyze mainstream open-source and proprietary metadata management systems, evaluate their AI-enhanced modules, and propose a novel AI-assisted metadata framework to handle next-generation datasets</w:t>
            </w:r>
          </w:p>
        </w:tc>
        <w:tc>
          <w:tcPr>
            <w:tcW w:w="1704" w:type="dxa"/>
            <w:vAlign w:val="center"/>
          </w:tcPr>
          <w:p w14:paraId="0BD2B81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 comparative and descriptive analysis of traditional versus AI-driven metadata tools, alongside an evaluation of specific AI techniques (NLP, ML, GenAI)</w:t>
            </w:r>
          </w:p>
        </w:tc>
        <w:tc>
          <w:tcPr>
            <w:tcW w:w="1704" w:type="dxa"/>
            <w:vAlign w:val="center"/>
          </w:tcPr>
          <w:p w14:paraId="2DECD4C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AI technologies transform metadata management by automating extraction, classification, and lineage tracking, which significantly improves data discovery and governance compared to traditional manual or rule-based methods</w:t>
            </w:r>
          </w:p>
        </w:tc>
        <w:tc>
          <w:tcPr>
            <w:tcW w:w="1704" w:type="dxa"/>
            <w:vAlign w:val="center"/>
          </w:tcPr>
          <w:p w14:paraId="71AB6CE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proposed AI-powered framework is conceptual and requires empirical case studies for validation.</w:t>
            </w:r>
          </w:p>
        </w:tc>
        <w:tc>
          <w:tcPr>
            <w:tcW w:w="1380" w:type="dxa"/>
            <w:vAlign w:val="center"/>
          </w:tcPr>
          <w:p w14:paraId="587E6E0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Generative AI for automated metadata enrichment</w:t>
            </w:r>
          </w:p>
        </w:tc>
      </w:tr>
      <w:tr w:rsidR="000E2BB3" w14:paraId="13E3B5F2" w14:textId="77777777">
        <w:trPr>
          <w:jc w:val="center"/>
        </w:trPr>
        <w:tc>
          <w:tcPr>
            <w:tcW w:w="625" w:type="dxa"/>
            <w:vAlign w:val="center"/>
          </w:tcPr>
          <w:p w14:paraId="65C61640" w14:textId="77777777" w:rsidR="000E2BB3" w:rsidRDefault="00000000">
            <w:pPr>
              <w:spacing w:before="80" w:after="80"/>
              <w:jc w:val="center"/>
              <w:rPr>
                <w:rFonts w:ascii="Times New Roman" w:eastAsia="Times New Roman" w:hAnsi="Times New Roman" w:cs="Times New Roman"/>
              </w:rPr>
            </w:pPr>
            <w:r>
              <w:rPr>
                <w:rFonts w:ascii="Times New Roman" w:eastAsia="Times New Roman" w:hAnsi="Times New Roman" w:cs="Times New Roman"/>
              </w:rPr>
              <w:t>3</w:t>
            </w:r>
          </w:p>
        </w:tc>
        <w:tc>
          <w:tcPr>
            <w:tcW w:w="1704" w:type="dxa"/>
            <w:vAlign w:val="center"/>
          </w:tcPr>
          <w:p w14:paraId="7B50905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OSFI–FCAC (2024)</w:t>
            </w:r>
          </w:p>
        </w:tc>
        <w:tc>
          <w:tcPr>
            <w:tcW w:w="1704" w:type="dxa"/>
            <w:vAlign w:val="center"/>
          </w:tcPr>
          <w:p w14:paraId="5CBEDD9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Identify AI uses and risks at federally regulated </w:t>
            </w:r>
            <w:r>
              <w:rPr>
                <w:rFonts w:ascii="Times New Roman" w:eastAsia="Times New Roman" w:hAnsi="Times New Roman" w:cs="Times New Roman"/>
              </w:rPr>
              <w:lastRenderedPageBreak/>
              <w:t>financial institutions.</w:t>
            </w:r>
          </w:p>
        </w:tc>
        <w:tc>
          <w:tcPr>
            <w:tcW w:w="1704" w:type="dxa"/>
            <w:vAlign w:val="center"/>
          </w:tcPr>
          <w:p w14:paraId="2148686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Industry questionnaire and review of external publications.</w:t>
            </w:r>
          </w:p>
        </w:tc>
        <w:tc>
          <w:tcPr>
            <w:tcW w:w="1704" w:type="dxa"/>
            <w:vAlign w:val="center"/>
          </w:tcPr>
          <w:p w14:paraId="71D9791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Data privacy, security, data governance, and data quality are important AI-</w:t>
            </w:r>
            <w:r>
              <w:rPr>
                <w:rFonts w:ascii="Times New Roman" w:eastAsia="Times New Roman" w:hAnsi="Times New Roman" w:cs="Times New Roman"/>
              </w:rPr>
              <w:lastRenderedPageBreak/>
              <w:t>related risk areas in financial institutions.</w:t>
            </w:r>
          </w:p>
        </w:tc>
        <w:tc>
          <w:tcPr>
            <w:tcW w:w="1704" w:type="dxa"/>
            <w:vAlign w:val="center"/>
          </w:tcPr>
          <w:p w14:paraId="3F06C94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Broad financial-sector scope; does not test a specific pipeline </w:t>
            </w:r>
            <w:r>
              <w:rPr>
                <w:rFonts w:ascii="Times New Roman" w:eastAsia="Times New Roman" w:hAnsi="Times New Roman" w:cs="Times New Roman"/>
              </w:rPr>
              <w:lastRenderedPageBreak/>
              <w:t>or governance tool.</w:t>
            </w:r>
          </w:p>
        </w:tc>
        <w:tc>
          <w:tcPr>
            <w:tcW w:w="1380" w:type="dxa"/>
            <w:vAlign w:val="center"/>
          </w:tcPr>
          <w:p w14:paraId="0265BBD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Banking AI governance, privacy, and risk </w:t>
            </w:r>
            <w:r>
              <w:rPr>
                <w:rFonts w:ascii="Times New Roman" w:eastAsia="Times New Roman" w:hAnsi="Times New Roman" w:cs="Times New Roman"/>
              </w:rPr>
              <w:lastRenderedPageBreak/>
              <w:t>management.</w:t>
            </w:r>
          </w:p>
        </w:tc>
      </w:tr>
      <w:tr w:rsidR="000E2BB3" w14:paraId="4A017069" w14:textId="77777777">
        <w:trPr>
          <w:jc w:val="center"/>
        </w:trPr>
        <w:tc>
          <w:tcPr>
            <w:tcW w:w="625" w:type="dxa"/>
            <w:vAlign w:val="center"/>
          </w:tcPr>
          <w:p w14:paraId="21C7B70C" w14:textId="77777777" w:rsidR="000E2BB3" w:rsidRDefault="00000000">
            <w:pPr>
              <w:spacing w:before="80" w:after="80"/>
              <w:jc w:val="center"/>
              <w:rPr>
                <w:rFonts w:ascii="Times New Roman" w:eastAsia="Times New Roman" w:hAnsi="Times New Roman" w:cs="Times New Roman"/>
              </w:rPr>
            </w:pPr>
            <w:r>
              <w:rPr>
                <w:rFonts w:ascii="Times New Roman" w:eastAsia="Times New Roman" w:hAnsi="Times New Roman" w:cs="Times New Roman"/>
              </w:rPr>
              <w:lastRenderedPageBreak/>
              <w:t>4</w:t>
            </w:r>
          </w:p>
        </w:tc>
        <w:tc>
          <w:tcPr>
            <w:tcW w:w="1704" w:type="dxa"/>
            <w:vAlign w:val="center"/>
          </w:tcPr>
          <w:p w14:paraId="05C5FF56"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J. Lee and A. </w:t>
            </w:r>
            <w:proofErr w:type="spellStart"/>
            <w:r>
              <w:rPr>
                <w:rFonts w:ascii="Times New Roman" w:eastAsia="Times New Roman" w:hAnsi="Times New Roman" w:cs="Times New Roman"/>
              </w:rPr>
              <w:t>Darbellay</w:t>
            </w:r>
            <w:proofErr w:type="spellEnd"/>
            <w:r>
              <w:rPr>
                <w:rFonts w:ascii="Times New Roman" w:eastAsia="Times New Roman" w:hAnsi="Times New Roman" w:cs="Times New Roman"/>
              </w:rPr>
              <w:t>, Eds., Data Governance in AI, FinTech and LegalTech: Law and Regulation in the Financial Sector. Cheltenham, UK: Edward Elgar Publishing, 2022.</w:t>
            </w:r>
          </w:p>
        </w:tc>
        <w:tc>
          <w:tcPr>
            <w:tcW w:w="1704" w:type="dxa"/>
            <w:vAlign w:val="center"/>
          </w:tcPr>
          <w:p w14:paraId="17E12DA8"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Analyze the legal rationale, regulatory frameworks, and governance tools governing data utility and artificial intelligence deployment across the financial sector.</w:t>
            </w:r>
          </w:p>
        </w:tc>
        <w:tc>
          <w:tcPr>
            <w:tcW w:w="1704" w:type="dxa"/>
            <w:vAlign w:val="center"/>
          </w:tcPr>
          <w:p w14:paraId="34A14E57"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Comparative legal analysis, regulatory review, and institutional governance assessment across financial markets and legal tech.</w:t>
            </w:r>
          </w:p>
        </w:tc>
        <w:tc>
          <w:tcPr>
            <w:tcW w:w="1704" w:type="dxa"/>
            <w:vAlign w:val="center"/>
          </w:tcPr>
          <w:p w14:paraId="2B471DF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Highlights that data governance in financial institutions requires stringent compliance, accountability mechanisms, and robust controls to manage AI-driven data risks.</w:t>
            </w:r>
          </w:p>
        </w:tc>
        <w:tc>
          <w:tcPr>
            <w:tcW w:w="1704" w:type="dxa"/>
            <w:vAlign w:val="center"/>
          </w:tcPr>
          <w:p w14:paraId="6254AB8C"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Focuses heavily on legal and regulatory frameworks rather than hands-on technical code pipeline execution.</w:t>
            </w:r>
          </w:p>
        </w:tc>
        <w:tc>
          <w:tcPr>
            <w:tcW w:w="1380" w:type="dxa"/>
            <w:vAlign w:val="center"/>
          </w:tcPr>
          <w:p w14:paraId="6546038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Financial Sector Data Regulation and Institutional AI Governance.</w:t>
            </w:r>
          </w:p>
        </w:tc>
      </w:tr>
      <w:tr w:rsidR="000E2BB3" w14:paraId="36693173" w14:textId="77777777">
        <w:trPr>
          <w:jc w:val="center"/>
        </w:trPr>
        <w:tc>
          <w:tcPr>
            <w:tcW w:w="625" w:type="dxa"/>
            <w:vAlign w:val="center"/>
          </w:tcPr>
          <w:p w14:paraId="34425259" w14:textId="77777777" w:rsidR="000E2BB3" w:rsidRDefault="00000000">
            <w:pPr>
              <w:spacing w:before="80" w:after="80"/>
              <w:jc w:val="center"/>
              <w:rPr>
                <w:rFonts w:ascii="Times New Roman" w:eastAsia="Times New Roman" w:hAnsi="Times New Roman" w:cs="Times New Roman"/>
              </w:rPr>
            </w:pPr>
            <w:r>
              <w:rPr>
                <w:rFonts w:ascii="Times New Roman" w:eastAsia="Times New Roman" w:hAnsi="Times New Roman" w:cs="Times New Roman"/>
              </w:rPr>
              <w:t>5</w:t>
            </w:r>
          </w:p>
        </w:tc>
        <w:tc>
          <w:tcPr>
            <w:tcW w:w="1704" w:type="dxa"/>
            <w:vAlign w:val="center"/>
          </w:tcPr>
          <w:p w14:paraId="6F5DF0E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Douglas Kiarelly Godoy De Araujo, Rafael Schmidt, Olivier Sirello, Bruno Tissot and Ricardo Villarreal. Artificial intelligence in central banks: Governance and implementation. Journal of AI, Robotics &amp; Workplace Automation, 4 (1), 8-24 (2025). </w:t>
            </w:r>
          </w:p>
        </w:tc>
        <w:tc>
          <w:tcPr>
            <w:tcW w:w="1704" w:type="dxa"/>
            <w:vAlign w:val="center"/>
          </w:tcPr>
          <w:p w14:paraId="01EECBB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Examine how central banks are adopting AI and how they govern its risks and IT implementation </w:t>
            </w:r>
          </w:p>
        </w:tc>
        <w:tc>
          <w:tcPr>
            <w:tcW w:w="1704" w:type="dxa"/>
            <w:vAlign w:val="center"/>
          </w:tcPr>
          <w:p w14:paraId="41092AFB"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The authors synthesize an IFC survey of central banks and related literature. The article does not conduct an experiment or provide detailed survey methods </w:t>
            </w:r>
          </w:p>
        </w:tc>
        <w:tc>
          <w:tcPr>
            <w:tcW w:w="1704" w:type="dxa"/>
            <w:vAlign w:val="center"/>
          </w:tcPr>
          <w:p w14:paraId="17C2A55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About one-quarter of AI use cases reached full-scale implementation (p. 13).</w:t>
            </w:r>
          </w:p>
          <w:p w14:paraId="214D05DF"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About one-third of respondents had an AI-use policy; about three-quarters restricted AI tools for confidentiality reasons (p. 14).</w:t>
            </w:r>
          </w:p>
          <w:p w14:paraId="22E6EFA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About two-thirds of use cases were developed </w:t>
            </w:r>
            <w:r>
              <w:rPr>
                <w:rFonts w:ascii="Times New Roman" w:eastAsia="Times New Roman" w:hAnsi="Times New Roman" w:cs="Times New Roman"/>
                <w:i/>
                <w:iCs/>
              </w:rPr>
              <w:t>ad hoc</w:t>
            </w:r>
            <w:r>
              <w:rPr>
                <w:rFonts w:ascii="Times New Roman" w:eastAsia="Times New Roman" w:hAnsi="Times New Roman" w:cs="Times New Roman"/>
              </w:rPr>
              <w:t xml:space="preserve"> by business areas (p. 15).</w:t>
            </w:r>
          </w:p>
        </w:tc>
        <w:tc>
          <w:tcPr>
            <w:tcW w:w="1704" w:type="dxa"/>
            <w:vAlign w:val="center"/>
          </w:tcPr>
          <w:p w14:paraId="10841FD4"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The results rely on reported practices and expectations, with limited survey-design detail in this article. It does not measure AI-related incidents, establish causation, or test whether proposed governance controls work </w:t>
            </w:r>
          </w:p>
        </w:tc>
        <w:tc>
          <w:tcPr>
            <w:tcW w:w="1380" w:type="dxa"/>
            <w:vAlign w:val="center"/>
          </w:tcPr>
          <w:p w14:paraId="37C5B2C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AI adoption is moving faster than formal governance; scaling pilots requires coordination across departments; and secure, well-documented data is central to responsible AI use </w:t>
            </w:r>
          </w:p>
        </w:tc>
      </w:tr>
      <w:tr w:rsidR="000E2BB3" w14:paraId="0F4176CF" w14:textId="77777777">
        <w:trPr>
          <w:jc w:val="center"/>
        </w:trPr>
        <w:tc>
          <w:tcPr>
            <w:tcW w:w="625" w:type="dxa"/>
            <w:vAlign w:val="center"/>
          </w:tcPr>
          <w:p w14:paraId="7C9ACD7C" w14:textId="77777777" w:rsidR="000E2BB3" w:rsidRDefault="00000000">
            <w:pPr>
              <w:spacing w:before="80" w:after="80"/>
              <w:jc w:val="center"/>
              <w:rPr>
                <w:rFonts w:ascii="Times New Roman" w:eastAsia="Times New Roman" w:hAnsi="Times New Roman" w:cs="Times New Roman"/>
              </w:rPr>
            </w:pPr>
            <w:r>
              <w:rPr>
                <w:rFonts w:ascii="Times New Roman" w:eastAsia="Times New Roman" w:hAnsi="Times New Roman" w:cs="Times New Roman"/>
              </w:rPr>
              <w:t>6</w:t>
            </w:r>
          </w:p>
        </w:tc>
        <w:tc>
          <w:tcPr>
            <w:tcW w:w="1704" w:type="dxa"/>
            <w:vAlign w:val="center"/>
          </w:tcPr>
          <w:p w14:paraId="59C9FD8A" w14:textId="77777777" w:rsidR="000E2BB3" w:rsidRDefault="00000000">
            <w:pPr>
              <w:rPr>
                <w:rFonts w:ascii="Times New Roman" w:eastAsia="Times New Roman" w:hAnsi="Times New Roman" w:cs="Times New Roman"/>
              </w:rPr>
            </w:pPr>
            <w:r>
              <w:rPr>
                <w:rFonts w:ascii="Times New Roman" w:eastAsia="Times New Roman" w:hAnsi="Times New Roman" w:cs="Times New Roman"/>
              </w:rPr>
              <w:t xml:space="preserve"> Irving Fisher Committee on Central Bank Statistics (IFC) (July 2021), </w:t>
            </w:r>
            <w:r>
              <w:rPr>
                <w:rFonts w:ascii="Times New Roman" w:eastAsia="Times New Roman" w:hAnsi="Times New Roman" w:cs="Times New Roman"/>
              </w:rPr>
              <w:lastRenderedPageBreak/>
              <w:t>‘Issues in data governance’, IFC Bulletin 54</w:t>
            </w:r>
          </w:p>
        </w:tc>
        <w:tc>
          <w:tcPr>
            <w:tcW w:w="1704" w:type="dxa"/>
            <w:vAlign w:val="center"/>
          </w:tcPr>
          <w:p w14:paraId="35107BC3"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Examine how statistical institutions and central banks </w:t>
            </w:r>
            <w:r>
              <w:rPr>
                <w:rFonts w:ascii="Times New Roman" w:eastAsia="Times New Roman" w:hAnsi="Times New Roman" w:cs="Times New Roman"/>
              </w:rPr>
              <w:lastRenderedPageBreak/>
              <w:t xml:space="preserve">should govern data across collection, management, dissemination, and use </w:t>
            </w:r>
          </w:p>
        </w:tc>
        <w:tc>
          <w:tcPr>
            <w:tcW w:w="1704" w:type="dxa"/>
            <w:vAlign w:val="center"/>
          </w:tcPr>
          <w:p w14:paraId="5468BF81"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Synthesis of presentations, institutional experiences, and </w:t>
            </w:r>
            <w:r>
              <w:rPr>
                <w:rFonts w:ascii="Times New Roman" w:eastAsia="Times New Roman" w:hAnsi="Times New Roman" w:cs="Times New Roman"/>
              </w:rPr>
              <w:lastRenderedPageBreak/>
              <w:t xml:space="preserve">cited literature from a 2019 data-governance meeting. It is not a controlled experiment or systematic survey </w:t>
            </w:r>
          </w:p>
        </w:tc>
        <w:tc>
          <w:tcPr>
            <w:tcW w:w="1704" w:type="dxa"/>
            <w:vAlign w:val="center"/>
          </w:tcPr>
          <w:p w14:paraId="5187A5A2"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The volume </w:t>
            </w:r>
            <w:r>
              <w:rPr>
                <w:rFonts w:ascii="Times New Roman" w:eastAsia="Times New Roman" w:hAnsi="Times New Roman" w:cs="Times New Roman"/>
                <w:b/>
                <w:bCs/>
              </w:rPr>
              <w:t>reports</w:t>
            </w:r>
            <w:r>
              <w:rPr>
                <w:rFonts w:ascii="Times New Roman" w:eastAsia="Times New Roman" w:hAnsi="Times New Roman" w:cs="Times New Roman"/>
              </w:rPr>
              <w:t xml:space="preserve"> that Tunisia’s central bank used </w:t>
            </w:r>
            <w:r>
              <w:rPr>
                <w:rFonts w:ascii="Times New Roman" w:eastAsia="Times New Roman" w:hAnsi="Times New Roman" w:cs="Times New Roman"/>
              </w:rPr>
              <w:lastRenderedPageBreak/>
              <w:t>automated collection and validation in its statistical system.</w:t>
            </w:r>
          </w:p>
          <w:p w14:paraId="5BEA15A9"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t xml:space="preserve">- These are documented institutional examples; the volume does not independently measure their effectiveness </w:t>
            </w:r>
          </w:p>
        </w:tc>
        <w:tc>
          <w:tcPr>
            <w:tcW w:w="1704" w:type="dxa"/>
            <w:vAlign w:val="center"/>
          </w:tcPr>
          <w:p w14:paraId="3E4DDE1E"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Its examples focus on official statistics and central banks. It </w:t>
            </w:r>
            <w:r>
              <w:rPr>
                <w:rFonts w:ascii="Times New Roman" w:eastAsia="Times New Roman" w:hAnsi="Times New Roman" w:cs="Times New Roman"/>
              </w:rPr>
              <w:lastRenderedPageBreak/>
              <w:t xml:space="preserve">does not study AI-assisted coding, commercial-bank pipeline modernization, or measured reductions in data errors and security incidents. </w:t>
            </w:r>
          </w:p>
        </w:tc>
        <w:tc>
          <w:tcPr>
            <w:tcW w:w="1380" w:type="dxa"/>
            <w:vAlign w:val="center"/>
          </w:tcPr>
          <w:p w14:paraId="4C4F0A0D" w14:textId="77777777" w:rsidR="000E2BB3" w:rsidRDefault="00000000">
            <w:pPr>
              <w:spacing w:before="80" w:after="80"/>
              <w:rPr>
                <w:rFonts w:ascii="Times New Roman" w:eastAsia="Times New Roman" w:hAnsi="Times New Roman" w:cs="Times New Roman"/>
              </w:rPr>
            </w:pPr>
            <w:r>
              <w:rPr>
                <w:rFonts w:ascii="Times New Roman" w:eastAsia="Times New Roman" w:hAnsi="Times New Roman" w:cs="Times New Roman"/>
              </w:rPr>
              <w:lastRenderedPageBreak/>
              <w:t xml:space="preserve">Governance across the full data lifecycle; </w:t>
            </w:r>
            <w:r>
              <w:rPr>
                <w:rFonts w:ascii="Times New Roman" w:eastAsia="Times New Roman" w:hAnsi="Times New Roman" w:cs="Times New Roman"/>
              </w:rPr>
              <w:lastRenderedPageBreak/>
              <w:t xml:space="preserve">clear data-owner and steward roles; metadata and common standards; balancing data access with confidentiality; and validating new data sources before production use </w:t>
            </w:r>
          </w:p>
        </w:tc>
      </w:tr>
      <w:tr w:rsidR="000E2BB3" w14:paraId="13758AC0" w14:textId="77777777">
        <w:trPr>
          <w:jc w:val="center"/>
        </w:trPr>
        <w:tc>
          <w:tcPr>
            <w:tcW w:w="625" w:type="dxa"/>
            <w:vAlign w:val="center"/>
          </w:tcPr>
          <w:p w14:paraId="5D778DC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w:t>
            </w:r>
          </w:p>
        </w:tc>
        <w:tc>
          <w:tcPr>
            <w:tcW w:w="1704" w:type="dxa"/>
            <w:vAlign w:val="center"/>
          </w:tcPr>
          <w:p w14:paraId="4E862BE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Abraham, J. Schneider, and J. </w:t>
            </w:r>
            <w:proofErr w:type="spellStart"/>
            <w:r>
              <w:rPr>
                <w:rFonts w:ascii="Times New Roman" w:eastAsia="Times New Roman" w:hAnsi="Times New Roman" w:cs="Times New Roman"/>
                <w:sz w:val="24"/>
                <w:szCs w:val="24"/>
              </w:rPr>
              <w:t>vom</w:t>
            </w:r>
            <w:proofErr w:type="spellEnd"/>
            <w:r>
              <w:rPr>
                <w:rFonts w:ascii="Times New Roman" w:eastAsia="Times New Roman" w:hAnsi="Times New Roman" w:cs="Times New Roman"/>
                <w:sz w:val="24"/>
                <w:szCs w:val="24"/>
              </w:rPr>
              <w:t xml:space="preserve"> Brocke, "Data governance: A conceptual framework, structured review, and research agenda," Int. J. Inf. Manage., vol. 49, pp. 424-438, Dec. 2019,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10.1016/j.ijinfomgt.2019.07.008.</w:t>
            </w:r>
          </w:p>
        </w:tc>
        <w:tc>
          <w:tcPr>
            <w:tcW w:w="1704" w:type="dxa"/>
            <w:vAlign w:val="center"/>
          </w:tcPr>
          <w:p w14:paraId="0C4F5AB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Consolidate data-governance research into one conceptual framework</w:t>
            </w:r>
          </w:p>
        </w:tc>
        <w:tc>
          <w:tcPr>
            <w:tcW w:w="1704" w:type="dxa"/>
            <w:vAlign w:val="center"/>
          </w:tcPr>
          <w:p w14:paraId="5B580CD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Structured literature review of 145 research and practitioner publications (2001-2019)</w:t>
            </w:r>
          </w:p>
        </w:tc>
        <w:tc>
          <w:tcPr>
            <w:tcW w:w="1704" w:type="dxa"/>
            <w:vAlign w:val="center"/>
          </w:tcPr>
          <w:p w14:paraId="5BF1D00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Identifies the building blocks of data governance along six dimensions; proposes five research areas and 15 research questions</w:t>
            </w:r>
          </w:p>
        </w:tc>
        <w:tc>
          <w:tcPr>
            <w:tcW w:w="1704" w:type="dxa"/>
            <w:vAlign w:val="center"/>
          </w:tcPr>
          <w:p w14:paraId="66C6654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Literature only; pre-dates AI-driven catalogues</w:t>
            </w:r>
          </w:p>
        </w:tc>
        <w:tc>
          <w:tcPr>
            <w:tcW w:w="1380" w:type="dxa"/>
            <w:vAlign w:val="center"/>
          </w:tcPr>
          <w:p w14:paraId="6428FCC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and accountability</w:t>
            </w:r>
          </w:p>
        </w:tc>
      </w:tr>
      <w:tr w:rsidR="000E2BB3" w14:paraId="54DD99A1" w14:textId="77777777">
        <w:trPr>
          <w:jc w:val="center"/>
        </w:trPr>
        <w:tc>
          <w:tcPr>
            <w:tcW w:w="625" w:type="dxa"/>
            <w:vAlign w:val="center"/>
          </w:tcPr>
          <w:p w14:paraId="1F58AD49"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704" w:type="dxa"/>
            <w:vAlign w:val="center"/>
          </w:tcPr>
          <w:p w14:paraId="27FC929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 Khatri and C. V. Brown, "Designing data governance," Commun. ACM, vol. 53, </w:t>
            </w:r>
            <w:r>
              <w:rPr>
                <w:rFonts w:ascii="Times New Roman" w:eastAsia="Times New Roman" w:hAnsi="Times New Roman" w:cs="Times New Roman"/>
                <w:sz w:val="24"/>
                <w:szCs w:val="24"/>
              </w:rPr>
              <w:lastRenderedPageBreak/>
              <w:t xml:space="preserve">no. 1, pp. 148-152, Jan. 2010,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10.1145/1629175.1629210.</w:t>
            </w:r>
          </w:p>
        </w:tc>
        <w:tc>
          <w:tcPr>
            <w:tcW w:w="1704" w:type="dxa"/>
            <w:vAlign w:val="center"/>
          </w:tcPr>
          <w:p w14:paraId="1F8FEF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 a framework for designing data governance</w:t>
            </w:r>
          </w:p>
        </w:tc>
        <w:tc>
          <w:tcPr>
            <w:tcW w:w="1704" w:type="dxa"/>
            <w:vAlign w:val="center"/>
          </w:tcPr>
          <w:p w14:paraId="6FD3149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framework adapted from Weill and Ross's IT-governance model</w:t>
            </w:r>
          </w:p>
        </w:tc>
        <w:tc>
          <w:tcPr>
            <w:tcW w:w="1704" w:type="dxa"/>
            <w:vAlign w:val="center"/>
          </w:tcPr>
          <w:p w14:paraId="0FCA1E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Governance decides which fundamental data decisions are made and by whom, across five </w:t>
            </w:r>
            <w:r>
              <w:rPr>
                <w:rFonts w:ascii="Times New Roman" w:eastAsia="Times New Roman" w:hAnsi="Times New Roman" w:cs="Times New Roman"/>
                <w:sz w:val="24"/>
                <w:szCs w:val="24"/>
              </w:rPr>
              <w:lastRenderedPageBreak/>
              <w:t>domains: principles, quality, metadata, access, life cycle</w:t>
            </w:r>
          </w:p>
        </w:tc>
        <w:tc>
          <w:tcPr>
            <w:tcW w:w="1704" w:type="dxa"/>
            <w:vAlign w:val="center"/>
          </w:tcPr>
          <w:p w14:paraId="58133E2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Conceptual; no empirical test</w:t>
            </w:r>
          </w:p>
        </w:tc>
        <w:tc>
          <w:tcPr>
            <w:tcW w:w="1380" w:type="dxa"/>
            <w:vAlign w:val="center"/>
          </w:tcPr>
          <w:p w14:paraId="754436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and accountability</w:t>
            </w:r>
          </w:p>
        </w:tc>
      </w:tr>
      <w:tr w:rsidR="000E2BB3" w14:paraId="17DD92B1" w14:textId="77777777">
        <w:trPr>
          <w:jc w:val="center"/>
        </w:trPr>
        <w:tc>
          <w:tcPr>
            <w:tcW w:w="625" w:type="dxa"/>
            <w:vAlign w:val="center"/>
          </w:tcPr>
          <w:p w14:paraId="545BA940"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704" w:type="dxa"/>
            <w:vAlign w:val="center"/>
          </w:tcPr>
          <w:p w14:paraId="5B78EE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 Janssen, P. Brous, E. Estevez, L. S. Barbosa, and T. Janowski, "Data governance: Organizing data for trustworthy artificial intelligence," Gov. Inf. Q., vol. 37, no. 3, Art. no. 101493, 2020,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10.1016/j.giq.2020.101493.</w:t>
            </w:r>
          </w:p>
        </w:tc>
        <w:tc>
          <w:tcPr>
            <w:tcW w:w="1704" w:type="dxa"/>
            <w:vAlign w:val="center"/>
          </w:tcPr>
          <w:p w14:paraId="496037F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 data-governance capabilities for trustworthy AI-based systems</w:t>
            </w:r>
          </w:p>
        </w:tc>
        <w:tc>
          <w:tcPr>
            <w:tcW w:w="1704" w:type="dxa"/>
            <w:vAlign w:val="center"/>
          </w:tcPr>
          <w:p w14:paraId="0B510E6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Review of challenges and approaches; framework design</w:t>
            </w:r>
          </w:p>
        </w:tc>
        <w:tc>
          <w:tcPr>
            <w:tcW w:w="1704" w:type="dxa"/>
            <w:vAlign w:val="center"/>
          </w:tcPr>
          <w:p w14:paraId="3FA233F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 of 13 design principles: stewardship of data, processes and algorithms; controlled opening for scrutiny; risk-based governance; system-level controls</w:t>
            </w:r>
          </w:p>
        </w:tc>
        <w:tc>
          <w:tcPr>
            <w:tcW w:w="1704" w:type="dxa"/>
            <w:vAlign w:val="center"/>
          </w:tcPr>
          <w:p w14:paraId="4CAFC36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Public-sector focus; not validated empirically</w:t>
            </w:r>
          </w:p>
        </w:tc>
        <w:tc>
          <w:tcPr>
            <w:tcW w:w="1380" w:type="dxa"/>
            <w:vAlign w:val="center"/>
          </w:tcPr>
          <w:p w14:paraId="0DE7FC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T5 Human oversight</w:t>
            </w:r>
          </w:p>
        </w:tc>
      </w:tr>
      <w:tr w:rsidR="000E2BB3" w14:paraId="5CC78DC7" w14:textId="77777777">
        <w:trPr>
          <w:jc w:val="center"/>
        </w:trPr>
        <w:tc>
          <w:tcPr>
            <w:tcW w:w="625" w:type="dxa"/>
            <w:vAlign w:val="center"/>
          </w:tcPr>
          <w:p w14:paraId="2A515E4E"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704" w:type="dxa"/>
            <w:vAlign w:val="center"/>
          </w:tcPr>
          <w:p w14:paraId="0E9B8D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Otto, "Organizing data governance: Findings from the telecommunications industry and consequences for large service providers," Commun. Assoc. Inf. Syst., vol. 29, 2011,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10.17705/1CAIS.02903.</w:t>
            </w:r>
          </w:p>
        </w:tc>
        <w:tc>
          <w:tcPr>
            <w:tcW w:w="1704" w:type="dxa"/>
            <w:vAlign w:val="center"/>
          </w:tcPr>
          <w:p w14:paraId="00841C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Understand how large firms organize data governance</w:t>
            </w:r>
          </w:p>
        </w:tc>
        <w:tc>
          <w:tcPr>
            <w:tcW w:w="1704" w:type="dxa"/>
            <w:vAlign w:val="center"/>
          </w:tcPr>
          <w:p w14:paraId="6742EE4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Case study of BT and Deutsche Telekom</w:t>
            </w:r>
          </w:p>
        </w:tc>
        <w:tc>
          <w:tcPr>
            <w:tcW w:w="1704" w:type="dxa"/>
            <w:vAlign w:val="center"/>
          </w:tcPr>
          <w:p w14:paraId="0DBB85C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Organizational design is context-contingent: BT was project-driven and bottom-up, Deutsche Telekom constitutive and top-down</w:t>
            </w:r>
          </w:p>
        </w:tc>
        <w:tc>
          <w:tcPr>
            <w:tcW w:w="1704" w:type="dxa"/>
            <w:vAlign w:val="center"/>
          </w:tcPr>
          <w:p w14:paraId="6E08689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Two cases in one industry</w:t>
            </w:r>
          </w:p>
        </w:tc>
        <w:tc>
          <w:tcPr>
            <w:tcW w:w="1380" w:type="dxa"/>
            <w:vAlign w:val="center"/>
          </w:tcPr>
          <w:p w14:paraId="53A0D99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and accountability</w:t>
            </w:r>
          </w:p>
        </w:tc>
      </w:tr>
      <w:tr w:rsidR="000E2BB3" w14:paraId="79AEA362" w14:textId="77777777">
        <w:trPr>
          <w:jc w:val="center"/>
        </w:trPr>
        <w:tc>
          <w:tcPr>
            <w:tcW w:w="625" w:type="dxa"/>
            <w:vAlign w:val="center"/>
          </w:tcPr>
          <w:p w14:paraId="6E970007"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704" w:type="dxa"/>
            <w:vAlign w:val="center"/>
          </w:tcPr>
          <w:p w14:paraId="31E90C9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 Brous, M. Janssen, and R. Krans, "Data governance as success factor for data science," in Proc. I3E 2020, LNCS, vol. 12066. Cham, Switzerland: Springer, 2020, pp. 431-442,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10.1007/978-3-030-44999-5_36.</w:t>
            </w:r>
          </w:p>
        </w:tc>
        <w:tc>
          <w:tcPr>
            <w:tcW w:w="1704" w:type="dxa"/>
            <w:vAlign w:val="center"/>
          </w:tcPr>
          <w:p w14:paraId="54950D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Understand the role of data governance in data-science success</w:t>
            </w:r>
          </w:p>
        </w:tc>
        <w:tc>
          <w:tcPr>
            <w:tcW w:w="1704" w:type="dxa"/>
            <w:vAlign w:val="center"/>
          </w:tcPr>
          <w:p w14:paraId="752F9D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Case study of a data lake in an asset-management organization</w:t>
            </w:r>
          </w:p>
        </w:tc>
        <w:tc>
          <w:tcPr>
            <w:tcW w:w="1704" w:type="dxa"/>
            <w:vAlign w:val="center"/>
          </w:tcPr>
          <w:p w14:paraId="3ECA7CD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Unambiguous data ownership, quality monitoring of data entering the lake, and an overview of compliance requirements build trust in data-science outputs</w:t>
            </w:r>
          </w:p>
        </w:tc>
        <w:tc>
          <w:tcPr>
            <w:tcW w:w="1704" w:type="dxa"/>
            <w:vAlign w:val="center"/>
          </w:tcPr>
          <w:p w14:paraId="792331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 case; non-financial domain</w:t>
            </w:r>
          </w:p>
        </w:tc>
        <w:tc>
          <w:tcPr>
            <w:tcW w:w="1380" w:type="dxa"/>
            <w:vAlign w:val="center"/>
          </w:tcPr>
          <w:p w14:paraId="562237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T3 Metadata</w:t>
            </w:r>
          </w:p>
        </w:tc>
      </w:tr>
      <w:tr w:rsidR="000E2BB3" w14:paraId="38BD9DB0" w14:textId="77777777">
        <w:trPr>
          <w:jc w:val="center"/>
        </w:trPr>
        <w:tc>
          <w:tcPr>
            <w:tcW w:w="625" w:type="dxa"/>
            <w:vAlign w:val="center"/>
          </w:tcPr>
          <w:p w14:paraId="3BBEE09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704" w:type="dxa"/>
            <w:vAlign w:val="center"/>
          </w:tcPr>
          <w:p w14:paraId="24BAA9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Labadie, C. Legner, M. Eurich, and M. Fadler, "FAIR enough? Enhancing the usage of enterprise data with data catalogs," in Proc. IEEE 22nd Conf. Business Informatics (CBI), 2020, pp. 201-210,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10.1109/CBI49978.2020.00029.</w:t>
            </w:r>
          </w:p>
        </w:tc>
        <w:tc>
          <w:tcPr>
            <w:tcW w:w="1704" w:type="dxa"/>
            <w:vAlign w:val="center"/>
          </w:tcPr>
          <w:p w14:paraId="27FB85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Understand data catalogues </w:t>
            </w:r>
            <w:proofErr w:type="gramStart"/>
            <w:r>
              <w:rPr>
                <w:rFonts w:ascii="Times New Roman" w:eastAsia="Times New Roman" w:hAnsi="Times New Roman" w:cs="Times New Roman"/>
                <w:sz w:val="24"/>
                <w:szCs w:val="24"/>
              </w:rPr>
              <w:t>as a means to</w:t>
            </w:r>
            <w:proofErr w:type="gramEnd"/>
            <w:r>
              <w:rPr>
                <w:rFonts w:ascii="Times New Roman" w:eastAsia="Times New Roman" w:hAnsi="Times New Roman" w:cs="Times New Roman"/>
                <w:sz w:val="24"/>
                <w:szCs w:val="24"/>
              </w:rPr>
              <w:t xml:space="preserve"> increase enterprise data use</w:t>
            </w:r>
          </w:p>
        </w:tc>
        <w:tc>
          <w:tcPr>
            <w:tcW w:w="1704" w:type="dxa"/>
            <w:vAlign w:val="center"/>
          </w:tcPr>
          <w:p w14:paraId="7744AC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Qualitative, exploratory study of 12 multinational enterprises; 3 detailed case studies</w:t>
            </w:r>
          </w:p>
        </w:tc>
        <w:tc>
          <w:tcPr>
            <w:tcW w:w="1704" w:type="dxa"/>
            <w:vAlign w:val="center"/>
          </w:tcPr>
          <w:p w14:paraId="20A5CB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Taxonomy of catalogue initiatives by scope, goals and users; catalogues operationalize the FAIR principles in enterprises</w:t>
            </w:r>
          </w:p>
        </w:tc>
        <w:tc>
          <w:tcPr>
            <w:tcW w:w="1704" w:type="dxa"/>
            <w:vAlign w:val="center"/>
          </w:tcPr>
          <w:p w14:paraId="137338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Little on privacy or access control</w:t>
            </w:r>
          </w:p>
        </w:tc>
        <w:tc>
          <w:tcPr>
            <w:tcW w:w="1380" w:type="dxa"/>
            <w:vAlign w:val="center"/>
          </w:tcPr>
          <w:p w14:paraId="464AA58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and catalogues</w:t>
            </w:r>
          </w:p>
        </w:tc>
      </w:tr>
      <w:tr w:rsidR="000E2BB3" w14:paraId="52A6C9F5" w14:textId="77777777">
        <w:trPr>
          <w:jc w:val="center"/>
        </w:trPr>
        <w:tc>
          <w:tcPr>
            <w:tcW w:w="625" w:type="dxa"/>
            <w:vAlign w:val="center"/>
          </w:tcPr>
          <w:p w14:paraId="5D573AC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13</w:t>
            </w:r>
          </w:p>
        </w:tc>
        <w:tc>
          <w:tcPr>
            <w:tcW w:w="1704" w:type="dxa"/>
            <w:vAlign w:val="center"/>
          </w:tcPr>
          <w:p w14:paraId="76760B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 Ehrlinger, J. Schrott, M. Melichar, N. </w:t>
            </w:r>
            <w:proofErr w:type="spellStart"/>
            <w:r>
              <w:rPr>
                <w:rFonts w:ascii="Times New Roman" w:eastAsia="Times New Roman" w:hAnsi="Times New Roman" w:cs="Times New Roman"/>
                <w:sz w:val="24"/>
                <w:szCs w:val="24"/>
              </w:rPr>
              <w:t>Kirchmayr</w:t>
            </w:r>
            <w:proofErr w:type="spellEnd"/>
            <w:r>
              <w:rPr>
                <w:rFonts w:ascii="Times New Roman" w:eastAsia="Times New Roman" w:hAnsi="Times New Roman" w:cs="Times New Roman"/>
                <w:sz w:val="24"/>
                <w:szCs w:val="24"/>
              </w:rPr>
              <w:t xml:space="preserve">, and W. </w:t>
            </w:r>
            <w:proofErr w:type="spellStart"/>
            <w:r>
              <w:rPr>
                <w:rFonts w:ascii="Times New Roman" w:eastAsia="Times New Roman" w:hAnsi="Times New Roman" w:cs="Times New Roman"/>
                <w:sz w:val="24"/>
                <w:szCs w:val="24"/>
              </w:rPr>
              <w:t>Wöß</w:t>
            </w:r>
            <w:proofErr w:type="spellEnd"/>
            <w:r>
              <w:rPr>
                <w:rFonts w:ascii="Times New Roman" w:eastAsia="Times New Roman" w:hAnsi="Times New Roman" w:cs="Times New Roman"/>
                <w:sz w:val="24"/>
                <w:szCs w:val="24"/>
              </w:rPr>
              <w:t xml:space="preserve">, "Data catalogs: A systematic literature review and guidelines to implementation," in DEXA 2021 Workshops, CCIS, vol. 1479. Cham, Switzerland: Springer, 2021, pp. 148-158,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10.1007/978-3-030-87101-7_15.</w:t>
            </w:r>
          </w:p>
        </w:tc>
        <w:tc>
          <w:tcPr>
            <w:tcW w:w="1704" w:type="dxa"/>
            <w:vAlign w:val="center"/>
          </w:tcPr>
          <w:p w14:paraId="29AFA3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Review catalogue research and derive implementation guidance</w:t>
            </w:r>
          </w:p>
        </w:tc>
        <w:tc>
          <w:tcPr>
            <w:tcW w:w="1704" w:type="dxa"/>
            <w:vAlign w:val="center"/>
          </w:tcPr>
          <w:p w14:paraId="522C7B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Systematic literature review</w:t>
            </w:r>
          </w:p>
        </w:tc>
        <w:tc>
          <w:tcPr>
            <w:tcW w:w="1704" w:type="dxa"/>
            <w:vAlign w:val="center"/>
          </w:tcPr>
          <w:p w14:paraId="0F95DFA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Verified at metadata level only: reports a systematic review and implementation guidelines; full text to be read by the team</w:t>
            </w:r>
          </w:p>
        </w:tc>
        <w:tc>
          <w:tcPr>
            <w:tcW w:w="1704" w:type="dxa"/>
            <w:vAlign w:val="center"/>
          </w:tcPr>
          <w:p w14:paraId="03B2F44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Abstract not available in the indexes checked</w:t>
            </w:r>
          </w:p>
        </w:tc>
        <w:tc>
          <w:tcPr>
            <w:tcW w:w="1380" w:type="dxa"/>
            <w:vAlign w:val="center"/>
          </w:tcPr>
          <w:p w14:paraId="0350ED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and catalogues</w:t>
            </w:r>
          </w:p>
        </w:tc>
      </w:tr>
      <w:tr w:rsidR="000E2BB3" w14:paraId="792AFB5C" w14:textId="77777777">
        <w:trPr>
          <w:jc w:val="center"/>
        </w:trPr>
        <w:tc>
          <w:tcPr>
            <w:tcW w:w="625" w:type="dxa"/>
            <w:vAlign w:val="center"/>
          </w:tcPr>
          <w:p w14:paraId="639E9F3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1704" w:type="dxa"/>
            <w:vAlign w:val="center"/>
          </w:tcPr>
          <w:p w14:paraId="574EB7F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 Jahnke and B. Otto, "Data catalogs in the enterprise: Applications and integration," </w:t>
            </w:r>
            <w:proofErr w:type="spellStart"/>
            <w:r>
              <w:rPr>
                <w:rFonts w:ascii="Times New Roman" w:eastAsia="Times New Roman" w:hAnsi="Times New Roman" w:cs="Times New Roman"/>
                <w:sz w:val="24"/>
                <w:szCs w:val="24"/>
              </w:rPr>
              <w:t>Datenbank</w:t>
            </w:r>
            <w:proofErr w:type="spellEnd"/>
            <w:r>
              <w:rPr>
                <w:rFonts w:ascii="Times New Roman" w:eastAsia="Times New Roman" w:hAnsi="Times New Roman" w:cs="Times New Roman"/>
                <w:sz w:val="24"/>
                <w:szCs w:val="24"/>
              </w:rPr>
              <w:t xml:space="preserve">-Spektrum, vol. 23, no. 2, pp. 89-96, 2023,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10.1007/s13222-023-00445-2.</w:t>
            </w:r>
          </w:p>
        </w:tc>
        <w:tc>
          <w:tcPr>
            <w:tcW w:w="1704" w:type="dxa"/>
            <w:vAlign w:val="center"/>
          </w:tcPr>
          <w:p w14:paraId="01F4D8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Clarify catalogue application types and integration needs</w:t>
            </w:r>
          </w:p>
        </w:tc>
        <w:tc>
          <w:tcPr>
            <w:tcW w:w="1704" w:type="dxa"/>
            <w:vAlign w:val="center"/>
          </w:tcPr>
          <w:p w14:paraId="29130E9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Literature review plus analysis of 51 catalogue offerings</w:t>
            </w:r>
          </w:p>
        </w:tc>
        <w:tc>
          <w:tcPr>
            <w:tcW w:w="1704" w:type="dxa"/>
            <w:vAlign w:val="center"/>
          </w:tcPr>
          <w:p w14:paraId="5B23E3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Four enterprise-internal and three cross-enterprise catalogue classes; source integration, federation and data-access provisioning remain unclear in practice</w:t>
            </w:r>
          </w:p>
        </w:tc>
        <w:tc>
          <w:tcPr>
            <w:tcW w:w="1704" w:type="dxa"/>
            <w:vAlign w:val="center"/>
          </w:tcPr>
          <w:p w14:paraId="0AD8569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Offerings judged from public material</w:t>
            </w:r>
          </w:p>
        </w:tc>
        <w:tc>
          <w:tcPr>
            <w:tcW w:w="1380" w:type="dxa"/>
            <w:vAlign w:val="center"/>
          </w:tcPr>
          <w:p w14:paraId="287DB23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Catalogues; T6 Enforcement gap</w:t>
            </w:r>
          </w:p>
        </w:tc>
      </w:tr>
      <w:tr w:rsidR="000E2BB3" w14:paraId="4CBF9650" w14:textId="77777777">
        <w:trPr>
          <w:jc w:val="center"/>
        </w:trPr>
        <w:tc>
          <w:tcPr>
            <w:tcW w:w="625" w:type="dxa"/>
            <w:vAlign w:val="center"/>
          </w:tcPr>
          <w:p w14:paraId="00FA03A5"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1704" w:type="dxa"/>
            <w:vAlign w:val="center"/>
          </w:tcPr>
          <w:p w14:paraId="126A70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 Tonnarelli, I. Kumara, S. W. Driessen, D. A. </w:t>
            </w:r>
            <w:r>
              <w:rPr>
                <w:rFonts w:ascii="Times New Roman" w:eastAsia="Times New Roman" w:hAnsi="Times New Roman" w:cs="Times New Roman"/>
                <w:sz w:val="24"/>
                <w:szCs w:val="24"/>
              </w:rPr>
              <w:lastRenderedPageBreak/>
              <w:t xml:space="preserve">Tamburri, W.-J. van den Heuvel, and P. </w:t>
            </w:r>
            <w:proofErr w:type="spellStart"/>
            <w:r>
              <w:rPr>
                <w:rFonts w:ascii="Times New Roman" w:eastAsia="Times New Roman" w:hAnsi="Times New Roman" w:cs="Times New Roman"/>
                <w:sz w:val="24"/>
                <w:szCs w:val="24"/>
              </w:rPr>
              <w:t>Oor</w:t>
            </w:r>
            <w:proofErr w:type="spellEnd"/>
            <w:r>
              <w:rPr>
                <w:rFonts w:ascii="Times New Roman" w:eastAsia="Times New Roman" w:hAnsi="Times New Roman" w:cs="Times New Roman"/>
                <w:sz w:val="24"/>
                <w:szCs w:val="24"/>
              </w:rPr>
              <w:t xml:space="preserve">, "Data catalog tools: A systematic multivocal literature review," J. Syst. </w:t>
            </w:r>
            <w:proofErr w:type="spellStart"/>
            <w:r>
              <w:rPr>
                <w:rFonts w:ascii="Times New Roman" w:eastAsia="Times New Roman" w:hAnsi="Times New Roman" w:cs="Times New Roman"/>
                <w:sz w:val="24"/>
                <w:szCs w:val="24"/>
              </w:rPr>
              <w:t>Softw</w:t>
            </w:r>
            <w:proofErr w:type="spellEnd"/>
            <w:r>
              <w:rPr>
                <w:rFonts w:ascii="Times New Roman" w:eastAsia="Times New Roman" w:hAnsi="Times New Roman" w:cs="Times New Roman"/>
                <w:sz w:val="24"/>
                <w:szCs w:val="24"/>
              </w:rPr>
              <w:t xml:space="preserve">., vol. 230, Art. no. 112584, 2025,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10.1016/j.jss.2025.112584.</w:t>
            </w:r>
          </w:p>
        </w:tc>
        <w:tc>
          <w:tcPr>
            <w:tcW w:w="1704" w:type="dxa"/>
            <w:vAlign w:val="center"/>
          </w:tcPr>
          <w:p w14:paraId="1875B06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Characterize data-catalogue </w:t>
            </w:r>
            <w:r>
              <w:rPr>
                <w:rFonts w:ascii="Times New Roman" w:eastAsia="Times New Roman" w:hAnsi="Times New Roman" w:cs="Times New Roman"/>
                <w:sz w:val="24"/>
                <w:szCs w:val="24"/>
              </w:rPr>
              <w:lastRenderedPageBreak/>
              <w:t>features and tools</w:t>
            </w:r>
          </w:p>
        </w:tc>
        <w:tc>
          <w:tcPr>
            <w:tcW w:w="1704" w:type="dxa"/>
            <w:vAlign w:val="center"/>
          </w:tcPr>
          <w:p w14:paraId="75FE300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Multivocal review of 86 </w:t>
            </w:r>
            <w:r>
              <w:rPr>
                <w:rFonts w:ascii="Times New Roman" w:eastAsia="Times New Roman" w:hAnsi="Times New Roman" w:cs="Times New Roman"/>
                <w:sz w:val="24"/>
                <w:szCs w:val="24"/>
              </w:rPr>
              <w:lastRenderedPageBreak/>
              <w:t>sources and 39 catalogue tools</w:t>
            </w:r>
          </w:p>
        </w:tc>
        <w:tc>
          <w:tcPr>
            <w:tcW w:w="1704" w:type="dxa"/>
            <w:vAlign w:val="center"/>
          </w:tcPr>
          <w:p w14:paraId="338590B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Framework of 24 fine-grained and 5 high-level features </w:t>
            </w:r>
            <w:r>
              <w:rPr>
                <w:rFonts w:ascii="Times New Roman" w:eastAsia="Times New Roman" w:hAnsi="Times New Roman" w:cs="Times New Roman"/>
                <w:sz w:val="24"/>
                <w:szCs w:val="24"/>
              </w:rPr>
              <w:lastRenderedPageBreak/>
              <w:t xml:space="preserve">with three maturity levels, mapped to data mesh, lake and </w:t>
            </w:r>
            <w:proofErr w:type="spellStart"/>
            <w:r>
              <w:rPr>
                <w:rFonts w:ascii="Times New Roman" w:eastAsia="Times New Roman" w:hAnsi="Times New Roman" w:cs="Times New Roman"/>
                <w:sz w:val="24"/>
                <w:szCs w:val="24"/>
              </w:rPr>
              <w:t>lakehouse</w:t>
            </w:r>
            <w:proofErr w:type="spellEnd"/>
            <w:r>
              <w:rPr>
                <w:rFonts w:ascii="Times New Roman" w:eastAsia="Times New Roman" w:hAnsi="Times New Roman" w:cs="Times New Roman"/>
                <w:sz w:val="24"/>
                <w:szCs w:val="24"/>
              </w:rPr>
              <w:t xml:space="preserve"> architectures and the metadata life cycle</w:t>
            </w:r>
          </w:p>
        </w:tc>
        <w:tc>
          <w:tcPr>
            <w:tcW w:w="1704" w:type="dxa"/>
            <w:vAlign w:val="center"/>
          </w:tcPr>
          <w:p w14:paraId="260D8A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Includes grey literature; tool </w:t>
            </w:r>
            <w:r>
              <w:rPr>
                <w:rFonts w:ascii="Times New Roman" w:eastAsia="Times New Roman" w:hAnsi="Times New Roman" w:cs="Times New Roman"/>
                <w:sz w:val="24"/>
                <w:szCs w:val="24"/>
              </w:rPr>
              <w:lastRenderedPageBreak/>
              <w:t>data from documentation</w:t>
            </w:r>
          </w:p>
        </w:tc>
        <w:tc>
          <w:tcPr>
            <w:tcW w:w="1380" w:type="dxa"/>
            <w:vAlign w:val="center"/>
          </w:tcPr>
          <w:p w14:paraId="708C2D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T3 Metadata, </w:t>
            </w:r>
            <w:r>
              <w:rPr>
                <w:rFonts w:ascii="Times New Roman" w:eastAsia="Times New Roman" w:hAnsi="Times New Roman" w:cs="Times New Roman"/>
                <w:sz w:val="24"/>
                <w:szCs w:val="24"/>
              </w:rPr>
              <w:lastRenderedPageBreak/>
              <w:t>lineage and catalogues</w:t>
            </w:r>
          </w:p>
        </w:tc>
      </w:tr>
      <w:tr w:rsidR="000E2BB3" w14:paraId="245B3883" w14:textId="77777777">
        <w:trPr>
          <w:jc w:val="center"/>
        </w:trPr>
        <w:tc>
          <w:tcPr>
            <w:tcW w:w="625" w:type="dxa"/>
            <w:vAlign w:val="center"/>
          </w:tcPr>
          <w:p w14:paraId="6CF65BA5"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w:t>
            </w:r>
          </w:p>
        </w:tc>
        <w:tc>
          <w:tcPr>
            <w:tcW w:w="1704" w:type="dxa"/>
            <w:vAlign w:val="center"/>
          </w:tcPr>
          <w:p w14:paraId="4226A7F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 Sawadogo and J. Darmont, "On data lake architectures and metadata management," J. Intell. Inf. Syst., vol. 56, no. 1, pp. 97-120, 2021,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10.1007/s10844-020-00608-7.</w:t>
            </w:r>
          </w:p>
        </w:tc>
        <w:tc>
          <w:tcPr>
            <w:tcW w:w="1704" w:type="dxa"/>
            <w:vAlign w:val="center"/>
          </w:tcPr>
          <w:p w14:paraId="6005FB6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Survey data-lake design approaches</w:t>
            </w:r>
          </w:p>
        </w:tc>
        <w:tc>
          <w:tcPr>
            <w:tcW w:w="1704" w:type="dxa"/>
            <w:vAlign w:val="center"/>
          </w:tcPr>
          <w:p w14:paraId="608A8E5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Literature survey (preprint arXiv:2107.11152)</w:t>
            </w:r>
          </w:p>
        </w:tc>
        <w:tc>
          <w:tcPr>
            <w:tcW w:w="1704" w:type="dxa"/>
            <w:vAlign w:val="center"/>
          </w:tcPr>
          <w:p w14:paraId="3E84477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Reviews data-lake architectures and metadata management; notes the term is fuzzy and weighs the advantages and drawbacks of design options</w:t>
            </w:r>
          </w:p>
        </w:tc>
        <w:tc>
          <w:tcPr>
            <w:tcW w:w="1704" w:type="dxa"/>
            <w:vAlign w:val="center"/>
          </w:tcPr>
          <w:p w14:paraId="73B7B8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privacy-focused</w:t>
            </w:r>
          </w:p>
        </w:tc>
        <w:tc>
          <w:tcPr>
            <w:tcW w:w="1380" w:type="dxa"/>
            <w:vAlign w:val="center"/>
          </w:tcPr>
          <w:p w14:paraId="6A2B90B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and catalogues</w:t>
            </w:r>
          </w:p>
        </w:tc>
      </w:tr>
      <w:tr w:rsidR="000E2BB3" w14:paraId="1CA7A31E" w14:textId="77777777">
        <w:trPr>
          <w:jc w:val="center"/>
        </w:trPr>
        <w:tc>
          <w:tcPr>
            <w:tcW w:w="625" w:type="dxa"/>
            <w:vAlign w:val="center"/>
          </w:tcPr>
          <w:p w14:paraId="5A93BB60"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1704" w:type="dxa"/>
            <w:vAlign w:val="center"/>
          </w:tcPr>
          <w:p w14:paraId="70883E2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 A. B. da Silva et al., "</w:t>
            </w:r>
            <w:proofErr w:type="spellStart"/>
            <w:r>
              <w:rPr>
                <w:rFonts w:ascii="Times New Roman" w:eastAsia="Times New Roman" w:hAnsi="Times New Roman" w:cs="Times New Roman"/>
                <w:sz w:val="24"/>
                <w:szCs w:val="24"/>
              </w:rPr>
              <w:t>Análise</w:t>
            </w:r>
            <w:proofErr w:type="spellEnd"/>
            <w:r>
              <w:rPr>
                <w:rFonts w:ascii="Times New Roman" w:eastAsia="Times New Roman" w:hAnsi="Times New Roman" w:cs="Times New Roman"/>
                <w:sz w:val="24"/>
                <w:szCs w:val="24"/>
              </w:rPr>
              <w:t xml:space="preserve"> de ferramentas de </w:t>
            </w:r>
            <w:proofErr w:type="spellStart"/>
            <w:r>
              <w:rPr>
                <w:rFonts w:ascii="Times New Roman" w:eastAsia="Times New Roman" w:hAnsi="Times New Roman" w:cs="Times New Roman"/>
                <w:sz w:val="24"/>
                <w:szCs w:val="24"/>
              </w:rPr>
              <w:t>código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aberto</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gestão</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metadados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e Amundsen," in Proc. Escola Regional de Banco de Dados </w:t>
            </w:r>
            <w:r>
              <w:rPr>
                <w:rFonts w:ascii="Times New Roman" w:eastAsia="Times New Roman" w:hAnsi="Times New Roman" w:cs="Times New Roman"/>
                <w:sz w:val="24"/>
                <w:szCs w:val="24"/>
              </w:rPr>
              <w:lastRenderedPageBreak/>
              <w:t xml:space="preserve">(ERBD). Porto Alegre, Brazil: SBC, 2025, pp. 40-49,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10.5753/erbd.2025.7328.</w:t>
            </w:r>
          </w:p>
        </w:tc>
        <w:tc>
          <w:tcPr>
            <w:tcW w:w="1704" w:type="dxa"/>
            <w:vAlign w:val="center"/>
          </w:tcPr>
          <w:p w14:paraId="35C4FD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Choose an open-source metadata tool for a government data project</w:t>
            </w:r>
          </w:p>
        </w:tc>
        <w:tc>
          <w:tcPr>
            <w:tcW w:w="1704" w:type="dxa"/>
            <w:vAlign w:val="center"/>
          </w:tcPr>
          <w:p w14:paraId="6137BB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Comparative evaluation with the </w:t>
            </w:r>
            <w:proofErr w:type="spellStart"/>
            <w:r>
              <w:rPr>
                <w:rFonts w:ascii="Times New Roman" w:eastAsia="Times New Roman" w:hAnsi="Times New Roman" w:cs="Times New Roman"/>
                <w:sz w:val="24"/>
                <w:szCs w:val="24"/>
              </w:rPr>
              <w:t>OSSpal</w:t>
            </w:r>
            <w:proofErr w:type="spellEnd"/>
            <w:r>
              <w:rPr>
                <w:rFonts w:ascii="Times New Roman" w:eastAsia="Times New Roman" w:hAnsi="Times New Roman" w:cs="Times New Roman"/>
                <w:sz w:val="24"/>
                <w:szCs w:val="24"/>
              </w:rPr>
              <w:t xml:space="preserve"> methodology</w:t>
            </w:r>
          </w:p>
        </w:tc>
        <w:tc>
          <w:tcPr>
            <w:tcW w:w="1704" w:type="dxa"/>
            <w:vAlign w:val="center"/>
          </w:tcPr>
          <w:p w14:paraId="3227200E"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scored 4.55 versus 3.75 for Amundsen for the </w:t>
            </w:r>
            <w:proofErr w:type="spellStart"/>
            <w:r>
              <w:rPr>
                <w:rFonts w:ascii="Times New Roman" w:eastAsia="Times New Roman" w:hAnsi="Times New Roman" w:cs="Times New Roman"/>
                <w:sz w:val="24"/>
                <w:szCs w:val="24"/>
              </w:rPr>
              <w:t>Céos</w:t>
            </w:r>
            <w:proofErr w:type="spellEnd"/>
            <w:r>
              <w:rPr>
                <w:rFonts w:ascii="Times New Roman" w:eastAsia="Times New Roman" w:hAnsi="Times New Roman" w:cs="Times New Roman"/>
                <w:sz w:val="24"/>
                <w:szCs w:val="24"/>
              </w:rPr>
              <w:t xml:space="preserve"> project's government-data scope</w:t>
            </w:r>
          </w:p>
        </w:tc>
        <w:tc>
          <w:tcPr>
            <w:tcW w:w="1704" w:type="dxa"/>
            <w:vAlign w:val="center"/>
          </w:tcPr>
          <w:p w14:paraId="220594E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One project; regional venue; in Portuguese</w:t>
            </w:r>
          </w:p>
        </w:tc>
        <w:tc>
          <w:tcPr>
            <w:tcW w:w="1380" w:type="dxa"/>
            <w:vAlign w:val="center"/>
          </w:tcPr>
          <w:p w14:paraId="4B2D1C6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and catalogues</w:t>
            </w:r>
          </w:p>
        </w:tc>
      </w:tr>
      <w:tr w:rsidR="000E2BB3" w14:paraId="3E528F34" w14:textId="77777777">
        <w:trPr>
          <w:jc w:val="center"/>
        </w:trPr>
        <w:tc>
          <w:tcPr>
            <w:tcW w:w="625" w:type="dxa"/>
            <w:vAlign w:val="center"/>
          </w:tcPr>
          <w:p w14:paraId="66296780"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1704" w:type="dxa"/>
            <w:vAlign w:val="center"/>
          </w:tcPr>
          <w:p w14:paraId="5D747CC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 Herschel, R. </w:t>
            </w:r>
            <w:proofErr w:type="spellStart"/>
            <w:r>
              <w:rPr>
                <w:rFonts w:ascii="Times New Roman" w:eastAsia="Times New Roman" w:hAnsi="Times New Roman" w:cs="Times New Roman"/>
                <w:sz w:val="24"/>
                <w:szCs w:val="24"/>
              </w:rPr>
              <w:t>Diestelkämper</w:t>
            </w:r>
            <w:proofErr w:type="spellEnd"/>
            <w:r>
              <w:rPr>
                <w:rFonts w:ascii="Times New Roman" w:eastAsia="Times New Roman" w:hAnsi="Times New Roman" w:cs="Times New Roman"/>
                <w:sz w:val="24"/>
                <w:szCs w:val="24"/>
              </w:rPr>
              <w:t xml:space="preserve">, and H. Ben Lahmar, "A survey on provenance: What for? What form? What </w:t>
            </w:r>
            <w:proofErr w:type="gramStart"/>
            <w:r>
              <w:rPr>
                <w:rFonts w:ascii="Times New Roman" w:eastAsia="Times New Roman" w:hAnsi="Times New Roman" w:cs="Times New Roman"/>
                <w:sz w:val="24"/>
                <w:szCs w:val="24"/>
              </w:rPr>
              <w:t>from?,</w:t>
            </w:r>
            <w:proofErr w:type="gramEnd"/>
            <w:r>
              <w:rPr>
                <w:rFonts w:ascii="Times New Roman" w:eastAsia="Times New Roman" w:hAnsi="Times New Roman" w:cs="Times New Roman"/>
                <w:sz w:val="24"/>
                <w:szCs w:val="24"/>
              </w:rPr>
              <w:t xml:space="preserve">" VLDB J., vol. 26, no. 6, pp. 881-906, 2017,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10.1007/s00778-017-0486-1.</w:t>
            </w:r>
          </w:p>
        </w:tc>
        <w:tc>
          <w:tcPr>
            <w:tcW w:w="1704" w:type="dxa"/>
            <w:vAlign w:val="center"/>
          </w:tcPr>
          <w:p w14:paraId="58E3D1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 the provenance research field</w:t>
            </w:r>
          </w:p>
        </w:tc>
        <w:tc>
          <w:tcPr>
            <w:tcW w:w="1704" w:type="dxa"/>
            <w:vAlign w:val="center"/>
          </w:tcPr>
          <w:p w14:paraId="36FB756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Survey</w:t>
            </w:r>
          </w:p>
        </w:tc>
        <w:tc>
          <w:tcPr>
            <w:tcW w:w="1704" w:type="dxa"/>
            <w:vAlign w:val="center"/>
          </w:tcPr>
          <w:p w14:paraId="67D3EDD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Classifies provenance by use, by type captured, and by the resources and system requirements that drive the choice of solution</w:t>
            </w:r>
          </w:p>
        </w:tc>
        <w:tc>
          <w:tcPr>
            <w:tcW w:w="1704" w:type="dxa"/>
            <w:vAlign w:val="center"/>
          </w:tcPr>
          <w:p w14:paraId="48587A3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privacy-specific</w:t>
            </w:r>
          </w:p>
        </w:tc>
        <w:tc>
          <w:tcPr>
            <w:tcW w:w="1380" w:type="dxa"/>
            <w:vAlign w:val="center"/>
          </w:tcPr>
          <w:p w14:paraId="05558E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and catalogues</w:t>
            </w:r>
          </w:p>
        </w:tc>
      </w:tr>
      <w:tr w:rsidR="000E2BB3" w14:paraId="1142DBA7" w14:textId="77777777">
        <w:trPr>
          <w:jc w:val="center"/>
        </w:trPr>
        <w:tc>
          <w:tcPr>
            <w:tcW w:w="625" w:type="dxa"/>
            <w:vAlign w:val="center"/>
          </w:tcPr>
          <w:p w14:paraId="004C98D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1704" w:type="dxa"/>
            <w:vAlign w:val="center"/>
          </w:tcPr>
          <w:p w14:paraId="1590D0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Y. Wang and D. M. Strong, "Beyond accuracy: What data quality means to data consumers," J. Manage. Inf. Syst., vol. 12, no. 4, pp. 5-33, 1996,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10.1080/07421222.1996.11518099.</w:t>
            </w:r>
          </w:p>
        </w:tc>
        <w:tc>
          <w:tcPr>
            <w:tcW w:w="1704" w:type="dxa"/>
            <w:vAlign w:val="center"/>
          </w:tcPr>
          <w:p w14:paraId="6FA1F20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Capture data-quality aspects important to data consumers</w:t>
            </w:r>
          </w:p>
        </w:tc>
        <w:tc>
          <w:tcPr>
            <w:tcW w:w="1704" w:type="dxa"/>
            <w:vAlign w:val="center"/>
          </w:tcPr>
          <w:p w14:paraId="32D00BA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Two-stage survey and two-phase sorting study</w:t>
            </w:r>
          </w:p>
        </w:tc>
        <w:tc>
          <w:tcPr>
            <w:tcW w:w="1704" w:type="dxa"/>
            <w:vAlign w:val="center"/>
          </w:tcPr>
          <w:p w14:paraId="725C39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Hierarchical framework: intrinsic, contextual, representational and accessibility quality; quality must be judged in the context of the task</w:t>
            </w:r>
          </w:p>
        </w:tc>
        <w:tc>
          <w:tcPr>
            <w:tcW w:w="1704" w:type="dxa"/>
            <w:vAlign w:val="center"/>
          </w:tcPr>
          <w:p w14:paraId="5708353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Pre-dates modern privacy law</w:t>
            </w:r>
          </w:p>
        </w:tc>
        <w:tc>
          <w:tcPr>
            <w:tcW w:w="1380" w:type="dxa"/>
            <w:vAlign w:val="center"/>
          </w:tcPr>
          <w:p w14:paraId="70EEB92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(data quality)</w:t>
            </w:r>
          </w:p>
        </w:tc>
      </w:tr>
      <w:tr w:rsidR="000E2BB3" w14:paraId="29E78E98" w14:textId="77777777">
        <w:trPr>
          <w:jc w:val="center"/>
        </w:trPr>
        <w:tc>
          <w:tcPr>
            <w:tcW w:w="625" w:type="dxa"/>
            <w:vAlign w:val="center"/>
          </w:tcPr>
          <w:p w14:paraId="4CF1432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1704" w:type="dxa"/>
            <w:vAlign w:val="center"/>
          </w:tcPr>
          <w:p w14:paraId="5EA9EC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Truong, A. Walters, and J. Goodsitt, </w:t>
            </w:r>
            <w:r>
              <w:rPr>
                <w:rFonts w:ascii="Times New Roman" w:eastAsia="Times New Roman" w:hAnsi="Times New Roman" w:cs="Times New Roman"/>
                <w:sz w:val="24"/>
                <w:szCs w:val="24"/>
              </w:rPr>
              <w:lastRenderedPageBreak/>
              <w:t>"Sensitive data detection with high-throughput neural network models for financial institutions," arXiv:2012.09597, Dec. 2020.</w:t>
            </w:r>
          </w:p>
        </w:tc>
        <w:tc>
          <w:tcPr>
            <w:tcW w:w="1704" w:type="dxa"/>
            <w:vAlign w:val="center"/>
          </w:tcPr>
          <w:p w14:paraId="37E134A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Detect non-public personal information in </w:t>
            </w:r>
            <w:r>
              <w:rPr>
                <w:rFonts w:ascii="Times New Roman" w:eastAsia="Times New Roman" w:hAnsi="Times New Roman" w:cs="Times New Roman"/>
                <w:sz w:val="24"/>
                <w:szCs w:val="24"/>
              </w:rPr>
              <w:lastRenderedPageBreak/>
              <w:t>financial production data</w:t>
            </w:r>
          </w:p>
        </w:tc>
        <w:tc>
          <w:tcPr>
            <w:tcW w:w="1704" w:type="dxa"/>
            <w:vAlign w:val="center"/>
          </w:tcPr>
          <w:p w14:paraId="55AE811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Character-level CNN, LSTM, </w:t>
            </w:r>
            <w:proofErr w:type="spellStart"/>
            <w:r>
              <w:rPr>
                <w:rFonts w:ascii="Times New Roman" w:eastAsia="Times New Roman" w:hAnsi="Times New Roman" w:cs="Times New Roman"/>
                <w:sz w:val="24"/>
                <w:szCs w:val="24"/>
              </w:rPr>
              <w:lastRenderedPageBreak/>
              <w:t>BiLSTM</w:t>
            </w:r>
            <w:proofErr w:type="spellEnd"/>
            <w:r>
              <w:rPr>
                <w:rFonts w:ascii="Times New Roman" w:eastAsia="Times New Roman" w:hAnsi="Times New Roman" w:cs="Times New Roman"/>
                <w:sz w:val="24"/>
                <w:szCs w:val="24"/>
              </w:rPr>
              <w:t>-CRF and CNN-CRF models on internal and synthetic data</w:t>
            </w:r>
          </w:p>
        </w:tc>
        <w:tc>
          <w:tcPr>
            <w:tcW w:w="1704" w:type="dxa"/>
            <w:vAlign w:val="center"/>
          </w:tcPr>
          <w:p w14:paraId="229B9B6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CNN gave the best accuracy-</w:t>
            </w:r>
            <w:r>
              <w:rPr>
                <w:rFonts w:ascii="Times New Roman" w:eastAsia="Times New Roman" w:hAnsi="Times New Roman" w:cs="Times New Roman"/>
                <w:sz w:val="24"/>
                <w:szCs w:val="24"/>
              </w:rPr>
              <w:lastRenderedPageBreak/>
              <w:t>throughput trade-off for production; labelled public financial datasets are scarce</w:t>
            </w:r>
          </w:p>
        </w:tc>
        <w:tc>
          <w:tcPr>
            <w:tcW w:w="1704" w:type="dxa"/>
            <w:vAlign w:val="center"/>
          </w:tcPr>
          <w:p w14:paraId="46A4EF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 peer-reviewed; internal data</w:t>
            </w:r>
          </w:p>
        </w:tc>
        <w:tc>
          <w:tcPr>
            <w:tcW w:w="1380" w:type="dxa"/>
            <w:vAlign w:val="center"/>
          </w:tcPr>
          <w:p w14:paraId="408E308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T2 Automated discovery </w:t>
            </w:r>
            <w:r>
              <w:rPr>
                <w:rFonts w:ascii="Times New Roman" w:eastAsia="Times New Roman" w:hAnsi="Times New Roman" w:cs="Times New Roman"/>
                <w:sz w:val="24"/>
                <w:szCs w:val="24"/>
              </w:rPr>
              <w:lastRenderedPageBreak/>
              <w:t>and classification</w:t>
            </w:r>
          </w:p>
        </w:tc>
      </w:tr>
      <w:tr w:rsidR="000E2BB3" w14:paraId="392C752B" w14:textId="77777777">
        <w:trPr>
          <w:jc w:val="center"/>
        </w:trPr>
        <w:tc>
          <w:tcPr>
            <w:tcW w:w="625" w:type="dxa"/>
            <w:vAlign w:val="center"/>
          </w:tcPr>
          <w:p w14:paraId="33562CDE"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21</w:t>
            </w:r>
          </w:p>
        </w:tc>
        <w:tc>
          <w:tcPr>
            <w:tcW w:w="1704" w:type="dxa"/>
            <w:vAlign w:val="center"/>
          </w:tcPr>
          <w:p w14:paraId="0C041D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 Sweeney, "k-anonymity: A model for protecting privacy," Int. J. Uncertainty, Fuzziness </w:t>
            </w:r>
            <w:proofErr w:type="spellStart"/>
            <w:proofErr w:type="gramStart"/>
            <w:r>
              <w:rPr>
                <w:rFonts w:ascii="Times New Roman" w:eastAsia="Times New Roman" w:hAnsi="Times New Roman" w:cs="Times New Roman"/>
                <w:sz w:val="24"/>
                <w:szCs w:val="24"/>
              </w:rPr>
              <w:t>Knowl</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Based Syst., vol. 10, no. 5, pp. 557-570, 2002,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10.1142/S0218488502001648.</w:t>
            </w:r>
          </w:p>
        </w:tc>
        <w:tc>
          <w:tcPr>
            <w:tcW w:w="1704" w:type="dxa"/>
            <w:vAlign w:val="center"/>
          </w:tcPr>
          <w:p w14:paraId="14F499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Release person-specific data without re-identification</w:t>
            </w:r>
          </w:p>
        </w:tc>
        <w:tc>
          <w:tcPr>
            <w:tcW w:w="1704" w:type="dxa"/>
            <w:vAlign w:val="center"/>
          </w:tcPr>
          <w:p w14:paraId="06B26B5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Formal protection model with deployment policies</w:t>
            </w:r>
          </w:p>
        </w:tc>
        <w:tc>
          <w:tcPr>
            <w:tcW w:w="1704" w:type="dxa"/>
            <w:vAlign w:val="center"/>
          </w:tcPr>
          <w:p w14:paraId="05CBE0C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 release is k-anonymous when each person is indistinguishable from k-1 others; re-identification attacks remain possible unless the policies are respected</w:t>
            </w:r>
          </w:p>
        </w:tc>
        <w:tc>
          <w:tcPr>
            <w:tcW w:w="1704" w:type="dxa"/>
            <w:vAlign w:val="center"/>
          </w:tcPr>
          <w:p w14:paraId="797A66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Later shown insufficient for attribute disclosure</w:t>
            </w:r>
          </w:p>
        </w:tc>
        <w:tc>
          <w:tcPr>
            <w:tcW w:w="1380" w:type="dxa"/>
            <w:vAlign w:val="center"/>
          </w:tcPr>
          <w:p w14:paraId="67BF83B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(quasi-identifiers)</w:t>
            </w:r>
          </w:p>
        </w:tc>
      </w:tr>
      <w:tr w:rsidR="000E2BB3" w14:paraId="1D7FACEC" w14:textId="77777777">
        <w:trPr>
          <w:jc w:val="center"/>
        </w:trPr>
        <w:tc>
          <w:tcPr>
            <w:tcW w:w="625" w:type="dxa"/>
            <w:vAlign w:val="center"/>
          </w:tcPr>
          <w:p w14:paraId="7997D838"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1704" w:type="dxa"/>
            <w:vAlign w:val="center"/>
          </w:tcPr>
          <w:p w14:paraId="514EE83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 Rocher, J. M. Hendrickx, and Y.-A. de </w:t>
            </w:r>
            <w:proofErr w:type="spellStart"/>
            <w:r>
              <w:rPr>
                <w:rFonts w:ascii="Times New Roman" w:eastAsia="Times New Roman" w:hAnsi="Times New Roman" w:cs="Times New Roman"/>
                <w:sz w:val="24"/>
                <w:szCs w:val="24"/>
              </w:rPr>
              <w:t>Montjoye</w:t>
            </w:r>
            <w:proofErr w:type="spellEnd"/>
            <w:r>
              <w:rPr>
                <w:rFonts w:ascii="Times New Roman" w:eastAsia="Times New Roman" w:hAnsi="Times New Roman" w:cs="Times New Roman"/>
                <w:sz w:val="24"/>
                <w:szCs w:val="24"/>
              </w:rPr>
              <w:t xml:space="preserve">, "Estimating the success of re-identifications in incomplete datasets using generative models," Nature Commun., vol. 10, Art. no. 3069, 2019,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10.1038/s41467-019-10933-3.</w:t>
            </w:r>
          </w:p>
        </w:tc>
        <w:tc>
          <w:tcPr>
            <w:tcW w:w="1704" w:type="dxa"/>
            <w:vAlign w:val="center"/>
          </w:tcPr>
          <w:p w14:paraId="5B30246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Estimate re-identification likelihood in incomplete data</w:t>
            </w:r>
          </w:p>
        </w:tc>
        <w:tc>
          <w:tcPr>
            <w:tcW w:w="1704" w:type="dxa"/>
            <w:vAlign w:val="center"/>
          </w:tcPr>
          <w:p w14:paraId="60F2799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Generative copula model tested on 210 populations</w:t>
            </w:r>
          </w:p>
        </w:tc>
        <w:tc>
          <w:tcPr>
            <w:tcW w:w="1704" w:type="dxa"/>
            <w:vAlign w:val="center"/>
          </w:tcPr>
          <w:p w14:paraId="513033D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AUC 0.84-0.97 for predicting uniqueness; 99.98% of Americans re-identifiable from 15 demographic attributes</w:t>
            </w:r>
          </w:p>
        </w:tc>
        <w:tc>
          <w:tcPr>
            <w:tcW w:w="1704" w:type="dxa"/>
            <w:vAlign w:val="center"/>
          </w:tcPr>
          <w:p w14:paraId="41423E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U.S. demographic data</w:t>
            </w:r>
          </w:p>
        </w:tc>
        <w:tc>
          <w:tcPr>
            <w:tcW w:w="1380" w:type="dxa"/>
            <w:vAlign w:val="center"/>
          </w:tcPr>
          <w:p w14:paraId="256E8F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(quasi-identifiers)</w:t>
            </w:r>
          </w:p>
        </w:tc>
      </w:tr>
      <w:tr w:rsidR="000E2BB3" w14:paraId="114926B0" w14:textId="77777777">
        <w:trPr>
          <w:jc w:val="center"/>
        </w:trPr>
        <w:tc>
          <w:tcPr>
            <w:tcW w:w="625" w:type="dxa"/>
            <w:vAlign w:val="center"/>
          </w:tcPr>
          <w:p w14:paraId="4619990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1704" w:type="dxa"/>
            <w:vAlign w:val="center"/>
          </w:tcPr>
          <w:p w14:paraId="5F114DD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 </w:t>
            </w:r>
            <w:proofErr w:type="spellStart"/>
            <w:r>
              <w:rPr>
                <w:rFonts w:ascii="Times New Roman" w:eastAsia="Times New Roman" w:hAnsi="Times New Roman" w:cs="Times New Roman"/>
                <w:sz w:val="24"/>
                <w:szCs w:val="24"/>
              </w:rPr>
              <w:t>Mäntymäki</w:t>
            </w:r>
            <w:proofErr w:type="spellEnd"/>
            <w:r>
              <w:rPr>
                <w:rFonts w:ascii="Times New Roman" w:eastAsia="Times New Roman" w:hAnsi="Times New Roman" w:cs="Times New Roman"/>
                <w:sz w:val="24"/>
                <w:szCs w:val="24"/>
              </w:rPr>
              <w:t xml:space="preserve">, M. Minkkinen, T. </w:t>
            </w:r>
            <w:proofErr w:type="spellStart"/>
            <w:r>
              <w:rPr>
                <w:rFonts w:ascii="Times New Roman" w:eastAsia="Times New Roman" w:hAnsi="Times New Roman" w:cs="Times New Roman"/>
                <w:sz w:val="24"/>
                <w:szCs w:val="24"/>
              </w:rPr>
              <w:t>Birkstedt</w:t>
            </w:r>
            <w:proofErr w:type="spellEnd"/>
            <w:r>
              <w:rPr>
                <w:rFonts w:ascii="Times New Roman" w:eastAsia="Times New Roman" w:hAnsi="Times New Roman" w:cs="Times New Roman"/>
                <w:sz w:val="24"/>
                <w:szCs w:val="24"/>
              </w:rPr>
              <w:t xml:space="preserve">, and M. Viljanen, "Defining organizational AI governance," AI Ethics, vol. 2, no. 4, pp. 603-609, 2022,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10.1007/s43681-022-00143-x.</w:t>
            </w:r>
          </w:p>
        </w:tc>
        <w:tc>
          <w:tcPr>
            <w:tcW w:w="1704" w:type="dxa"/>
            <w:vAlign w:val="center"/>
          </w:tcPr>
          <w:p w14:paraId="35E4A4F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 AI governance at the organizational level</w:t>
            </w:r>
          </w:p>
        </w:tc>
        <w:tc>
          <w:tcPr>
            <w:tcW w:w="1704" w:type="dxa"/>
            <w:vAlign w:val="center"/>
          </w:tcPr>
          <w:p w14:paraId="1F9AADB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analysis</w:t>
            </w:r>
          </w:p>
        </w:tc>
        <w:tc>
          <w:tcPr>
            <w:tcW w:w="1704" w:type="dxa"/>
            <w:vAlign w:val="center"/>
          </w:tcPr>
          <w:p w14:paraId="0C063E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Defines organizational AI governance and positions it alongside corporate, IT and data governance</w:t>
            </w:r>
          </w:p>
        </w:tc>
        <w:tc>
          <w:tcPr>
            <w:tcW w:w="1704" w:type="dxa"/>
            <w:vAlign w:val="center"/>
          </w:tcPr>
          <w:p w14:paraId="6688A33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w:t>
            </w:r>
          </w:p>
        </w:tc>
        <w:tc>
          <w:tcPr>
            <w:tcW w:w="1380" w:type="dxa"/>
            <w:vAlign w:val="center"/>
          </w:tcPr>
          <w:p w14:paraId="22EA4A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11A4F4EE" w14:textId="77777777">
        <w:trPr>
          <w:jc w:val="center"/>
        </w:trPr>
        <w:tc>
          <w:tcPr>
            <w:tcW w:w="625" w:type="dxa"/>
            <w:vAlign w:val="center"/>
          </w:tcPr>
          <w:p w14:paraId="3E5DF771"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1704" w:type="dxa"/>
            <w:vAlign w:val="center"/>
          </w:tcPr>
          <w:p w14:paraId="35EA8B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 </w:t>
            </w:r>
            <w:proofErr w:type="spellStart"/>
            <w:r>
              <w:rPr>
                <w:rFonts w:ascii="Times New Roman" w:eastAsia="Times New Roman" w:hAnsi="Times New Roman" w:cs="Times New Roman"/>
                <w:sz w:val="24"/>
                <w:szCs w:val="24"/>
              </w:rPr>
              <w:t>Birkstedt</w:t>
            </w:r>
            <w:proofErr w:type="spellEnd"/>
            <w:r>
              <w:rPr>
                <w:rFonts w:ascii="Times New Roman" w:eastAsia="Times New Roman" w:hAnsi="Times New Roman" w:cs="Times New Roman"/>
                <w:sz w:val="24"/>
                <w:szCs w:val="24"/>
              </w:rPr>
              <w:t xml:space="preserve">, M. Minkkinen, A. Tandon, and M. </w:t>
            </w:r>
            <w:proofErr w:type="spellStart"/>
            <w:r>
              <w:rPr>
                <w:rFonts w:ascii="Times New Roman" w:eastAsia="Times New Roman" w:hAnsi="Times New Roman" w:cs="Times New Roman"/>
                <w:sz w:val="24"/>
                <w:szCs w:val="24"/>
              </w:rPr>
              <w:t>Mäntymäki</w:t>
            </w:r>
            <w:proofErr w:type="spellEnd"/>
            <w:r>
              <w:rPr>
                <w:rFonts w:ascii="Times New Roman" w:eastAsia="Times New Roman" w:hAnsi="Times New Roman" w:cs="Times New Roman"/>
                <w:sz w:val="24"/>
                <w:szCs w:val="24"/>
              </w:rPr>
              <w:t xml:space="preserve">, "AI governance: Themes, knowledge gaps and future agendas," Internet Res., vol. 33, no. 7, pp. 133-167, 2023,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10.1108/INTR-01-2022-0042.</w:t>
            </w:r>
          </w:p>
        </w:tc>
        <w:tc>
          <w:tcPr>
            <w:tcW w:w="1704" w:type="dxa"/>
            <w:vAlign w:val="center"/>
          </w:tcPr>
          <w:p w14:paraId="01E966F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Synthesize organizational AI-governance research</w:t>
            </w:r>
          </w:p>
        </w:tc>
        <w:tc>
          <w:tcPr>
            <w:tcW w:w="1704" w:type="dxa"/>
            <w:vAlign w:val="center"/>
          </w:tcPr>
          <w:p w14:paraId="721F8E4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PRISMA-based systematic literature review</w:t>
            </w:r>
          </w:p>
        </w:tc>
        <w:tc>
          <w:tcPr>
            <w:tcW w:w="1704" w:type="dxa"/>
            <w:vAlign w:val="center"/>
          </w:tcPr>
          <w:p w14:paraId="3FA252B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Four themes (technology, stakeholders and context, regulation, processes); gaps in implementation, context and operationalization of processes</w:t>
            </w:r>
          </w:p>
        </w:tc>
        <w:tc>
          <w:tcPr>
            <w:tcW w:w="1704" w:type="dxa"/>
            <w:vAlign w:val="center"/>
          </w:tcPr>
          <w:p w14:paraId="514C69A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Pre-2023 literature</w:t>
            </w:r>
          </w:p>
        </w:tc>
        <w:tc>
          <w:tcPr>
            <w:tcW w:w="1380" w:type="dxa"/>
            <w:vAlign w:val="center"/>
          </w:tcPr>
          <w:p w14:paraId="7B7D51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01CB7591" w14:textId="77777777">
        <w:trPr>
          <w:jc w:val="center"/>
        </w:trPr>
        <w:tc>
          <w:tcPr>
            <w:tcW w:w="625" w:type="dxa"/>
            <w:vAlign w:val="center"/>
          </w:tcPr>
          <w:p w14:paraId="00550EF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25</w:t>
            </w:r>
          </w:p>
        </w:tc>
        <w:tc>
          <w:tcPr>
            <w:tcW w:w="1704" w:type="dxa"/>
            <w:vAlign w:val="center"/>
          </w:tcPr>
          <w:p w14:paraId="5A2C4F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Parasuraman and V. Riley, "Humans and automation: Use, misuse, disuse, abuse," Hum. Factors, vol. 39, no. 2, pp. 230-253, 1997,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10.1518/001872097778543886.</w:t>
            </w:r>
          </w:p>
        </w:tc>
        <w:tc>
          <w:tcPr>
            <w:tcW w:w="1704" w:type="dxa"/>
            <w:vAlign w:val="center"/>
          </w:tcPr>
          <w:p w14:paraId="70ED3B4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Explain how people use and misuse automation</w:t>
            </w:r>
          </w:p>
        </w:tc>
        <w:tc>
          <w:tcPr>
            <w:tcW w:w="1704" w:type="dxa"/>
            <w:vAlign w:val="center"/>
          </w:tcPr>
          <w:p w14:paraId="580856F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Review of theoretical, empirical and analytical studies</w:t>
            </w:r>
          </w:p>
        </w:tc>
        <w:tc>
          <w:tcPr>
            <w:tcW w:w="1704" w:type="dxa"/>
            <w:vAlign w:val="center"/>
          </w:tcPr>
          <w:p w14:paraId="52FCBD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Over-reliance causes monitoring failures; false alarms cause disuse; automation abuse treats operators as by-products of automation</w:t>
            </w:r>
          </w:p>
        </w:tc>
        <w:tc>
          <w:tcPr>
            <w:tcW w:w="1704" w:type="dxa"/>
            <w:vAlign w:val="center"/>
          </w:tcPr>
          <w:p w14:paraId="44EBE4E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data-governance specific</w:t>
            </w:r>
          </w:p>
        </w:tc>
        <w:tc>
          <w:tcPr>
            <w:tcW w:w="1380" w:type="dxa"/>
            <w:vAlign w:val="center"/>
          </w:tcPr>
          <w:p w14:paraId="28B9FA7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1180F7CD" w14:textId="77777777">
        <w:trPr>
          <w:jc w:val="center"/>
        </w:trPr>
        <w:tc>
          <w:tcPr>
            <w:tcW w:w="625" w:type="dxa"/>
            <w:vAlign w:val="center"/>
          </w:tcPr>
          <w:p w14:paraId="7569DB38"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1704" w:type="dxa"/>
            <w:vAlign w:val="center"/>
          </w:tcPr>
          <w:p w14:paraId="790BDF3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 Goddard, A. </w:t>
            </w:r>
            <w:proofErr w:type="spellStart"/>
            <w:r>
              <w:rPr>
                <w:rFonts w:ascii="Times New Roman" w:eastAsia="Times New Roman" w:hAnsi="Times New Roman" w:cs="Times New Roman"/>
                <w:sz w:val="24"/>
                <w:szCs w:val="24"/>
              </w:rPr>
              <w:t>Roudsari</w:t>
            </w:r>
            <w:proofErr w:type="spellEnd"/>
            <w:r>
              <w:rPr>
                <w:rFonts w:ascii="Times New Roman" w:eastAsia="Times New Roman" w:hAnsi="Times New Roman" w:cs="Times New Roman"/>
                <w:sz w:val="24"/>
                <w:szCs w:val="24"/>
              </w:rPr>
              <w:t xml:space="preserve">, and J. C. Wyatt, "Automation bias: A systematic review of frequency, effect mediators, and mitigators," J. Amer. Med. Inform. Assoc., vol. 19, no. 1, pp. 121-127, 2012,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10.1136/amiajnl-2011-000089.</w:t>
            </w:r>
          </w:p>
        </w:tc>
        <w:tc>
          <w:tcPr>
            <w:tcW w:w="1704" w:type="dxa"/>
            <w:vAlign w:val="center"/>
          </w:tcPr>
          <w:p w14:paraId="57802D8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Measure automation bias and its mitigators</w:t>
            </w:r>
          </w:p>
        </w:tc>
        <w:tc>
          <w:tcPr>
            <w:tcW w:w="1704" w:type="dxa"/>
            <w:vAlign w:val="center"/>
          </w:tcPr>
          <w:p w14:paraId="6B5EA1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Systematic review: 74 of 13,821 papers</w:t>
            </w:r>
          </w:p>
        </w:tc>
        <w:tc>
          <w:tcPr>
            <w:tcW w:w="1704" w:type="dxa"/>
            <w:vAlign w:val="center"/>
          </w:tcPr>
          <w:p w14:paraId="2876E8C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Trust, workload and time pressure mediate automation bias; training, user accountability and displayed confidence levels mitigate it</w:t>
            </w:r>
          </w:p>
        </w:tc>
        <w:tc>
          <w:tcPr>
            <w:tcW w:w="1704" w:type="dxa"/>
            <w:vAlign w:val="center"/>
          </w:tcPr>
          <w:p w14:paraId="74CDC2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Healthcare decision support</w:t>
            </w:r>
          </w:p>
        </w:tc>
        <w:tc>
          <w:tcPr>
            <w:tcW w:w="1380" w:type="dxa"/>
            <w:vAlign w:val="center"/>
          </w:tcPr>
          <w:p w14:paraId="14BC29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343A2BAE" w14:textId="77777777">
        <w:trPr>
          <w:jc w:val="center"/>
        </w:trPr>
        <w:tc>
          <w:tcPr>
            <w:tcW w:w="625" w:type="dxa"/>
            <w:vAlign w:val="center"/>
          </w:tcPr>
          <w:p w14:paraId="1BAF3FE7"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c>
          <w:tcPr>
            <w:tcW w:w="1704" w:type="dxa"/>
            <w:vAlign w:val="center"/>
          </w:tcPr>
          <w:p w14:paraId="2D333EE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 W. Dietz, A. Wider, and S. Harrer, "Automating data governance with </w:t>
            </w:r>
            <w:r>
              <w:rPr>
                <w:rFonts w:ascii="Times New Roman" w:eastAsia="Times New Roman" w:hAnsi="Times New Roman" w:cs="Times New Roman"/>
                <w:sz w:val="24"/>
                <w:szCs w:val="24"/>
              </w:rPr>
              <w:lastRenderedPageBreak/>
              <w:t xml:space="preserve">generative AI," in Proc. AAAI/ACM Conf. AI, Ethics, and Society (AIES), vol. 8, no. 1, 2025, pp. 760-771,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10.1609/</w:t>
            </w:r>
            <w:proofErr w:type="gramStart"/>
            <w:r>
              <w:rPr>
                <w:rFonts w:ascii="Times New Roman" w:eastAsia="Times New Roman" w:hAnsi="Times New Roman" w:cs="Times New Roman"/>
                <w:sz w:val="24"/>
                <w:szCs w:val="24"/>
              </w:rPr>
              <w:t>aies.v</w:t>
            </w:r>
            <w:proofErr w:type="gramEnd"/>
            <w:r>
              <w:rPr>
                <w:rFonts w:ascii="Times New Roman" w:eastAsia="Times New Roman" w:hAnsi="Times New Roman" w:cs="Times New Roman"/>
                <w:sz w:val="24"/>
                <w:szCs w:val="24"/>
              </w:rPr>
              <w:t>8i1.36587.</w:t>
            </w:r>
          </w:p>
        </w:tc>
        <w:tc>
          <w:tcPr>
            <w:tcW w:w="1704" w:type="dxa"/>
            <w:vAlign w:val="center"/>
          </w:tcPr>
          <w:p w14:paraId="2200464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Automate compliance checks of data-access requests</w:t>
            </w:r>
          </w:p>
        </w:tc>
        <w:tc>
          <w:tcPr>
            <w:tcW w:w="1704" w:type="dxa"/>
            <w:vAlign w:val="center"/>
          </w:tcPr>
          <w:p w14:paraId="7F9429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LLM tool (Governance AI) evaluated on 110 requests in two domains</w:t>
            </w:r>
          </w:p>
        </w:tc>
        <w:tc>
          <w:tcPr>
            <w:tcW w:w="1704" w:type="dxa"/>
            <w:vAlign w:val="center"/>
          </w:tcPr>
          <w:p w14:paraId="721705F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Flagged all critical cases that experts raised; issued 3.6 times more </w:t>
            </w:r>
            <w:r>
              <w:rPr>
                <w:rFonts w:ascii="Times New Roman" w:eastAsia="Times New Roman" w:hAnsi="Times New Roman" w:cs="Times New Roman"/>
                <w:sz w:val="24"/>
                <w:szCs w:val="24"/>
              </w:rPr>
              <w:lastRenderedPageBreak/>
              <w:t>warnings than experts</w:t>
            </w:r>
          </w:p>
        </w:tc>
        <w:tc>
          <w:tcPr>
            <w:tcW w:w="1704" w:type="dxa"/>
            <w:vAlign w:val="center"/>
          </w:tcPr>
          <w:p w14:paraId="784C7F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Generated requests; consultancy-affiliated authors</w:t>
            </w:r>
          </w:p>
        </w:tc>
        <w:tc>
          <w:tcPr>
            <w:tcW w:w="1380" w:type="dxa"/>
            <w:vAlign w:val="center"/>
          </w:tcPr>
          <w:p w14:paraId="29D039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T2 Automation; T5 Oversight; T6 </w:t>
            </w:r>
            <w:r>
              <w:rPr>
                <w:rFonts w:ascii="Times New Roman" w:eastAsia="Times New Roman" w:hAnsi="Times New Roman" w:cs="Times New Roman"/>
                <w:sz w:val="24"/>
                <w:szCs w:val="24"/>
              </w:rPr>
              <w:lastRenderedPageBreak/>
              <w:t>Enforcement</w:t>
            </w:r>
          </w:p>
        </w:tc>
      </w:tr>
      <w:tr w:rsidR="000E2BB3" w14:paraId="318B3929" w14:textId="77777777">
        <w:trPr>
          <w:jc w:val="center"/>
        </w:trPr>
        <w:tc>
          <w:tcPr>
            <w:tcW w:w="625" w:type="dxa"/>
            <w:vAlign w:val="center"/>
          </w:tcPr>
          <w:p w14:paraId="36AA7FB0"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28</w:t>
            </w:r>
          </w:p>
        </w:tc>
        <w:tc>
          <w:tcPr>
            <w:tcW w:w="1704" w:type="dxa"/>
            <w:vAlign w:val="center"/>
          </w:tcPr>
          <w:p w14:paraId="45F155B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Torre et al., "An AI-assisted approach for checking the completeness of privacy policies against GDPR," in Proc. IEEE 28th Int. Requirements Eng. Conf. (RE), 2020, pp. 136-146,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10.1109/RE48521.2020.00025.</w:t>
            </w:r>
          </w:p>
        </w:tc>
        <w:tc>
          <w:tcPr>
            <w:tcW w:w="1704" w:type="dxa"/>
            <w:vAlign w:val="center"/>
          </w:tcPr>
          <w:p w14:paraId="5672DC1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GDPR completeness checking of privacy policies</w:t>
            </w:r>
          </w:p>
        </w:tc>
        <w:tc>
          <w:tcPr>
            <w:tcW w:w="1704" w:type="dxa"/>
            <w:vAlign w:val="center"/>
          </w:tcPr>
          <w:p w14:paraId="0F736E6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model plus NLP and supervised ML; case study on 24 unseen policies</w:t>
            </w:r>
          </w:p>
        </w:tc>
        <w:tc>
          <w:tcPr>
            <w:tcW w:w="1704" w:type="dxa"/>
            <w:vAlign w:val="center"/>
          </w:tcPr>
          <w:p w14:paraId="5A5F10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AI-assisted classification can check policy content against GDPR completeness criteria</w:t>
            </w:r>
          </w:p>
        </w:tc>
        <w:tc>
          <w:tcPr>
            <w:tcW w:w="1704" w:type="dxa"/>
            <w:vAlign w:val="center"/>
          </w:tcPr>
          <w:p w14:paraId="0C06097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Policy text, not stored data; GDPR</w:t>
            </w:r>
          </w:p>
        </w:tc>
        <w:tc>
          <w:tcPr>
            <w:tcW w:w="1380" w:type="dxa"/>
            <w:vAlign w:val="center"/>
          </w:tcPr>
          <w:p w14:paraId="5EA66C0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Policy as metadata</w:t>
            </w:r>
          </w:p>
        </w:tc>
      </w:tr>
      <w:tr w:rsidR="000E2BB3" w14:paraId="3BF0F699" w14:textId="77777777">
        <w:trPr>
          <w:jc w:val="center"/>
        </w:trPr>
        <w:tc>
          <w:tcPr>
            <w:tcW w:w="625" w:type="dxa"/>
            <w:vAlign w:val="center"/>
          </w:tcPr>
          <w:p w14:paraId="451CB3F5"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w:t>
            </w:r>
          </w:p>
        </w:tc>
        <w:tc>
          <w:tcPr>
            <w:tcW w:w="1704" w:type="dxa"/>
            <w:vAlign w:val="center"/>
          </w:tcPr>
          <w:p w14:paraId="7930A49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 Hou, Y. Zhao, S. Wang, and H. Wang, "Model Context Protocol (MCP): Landscape, security threats, and </w:t>
            </w:r>
            <w:r>
              <w:rPr>
                <w:rFonts w:ascii="Times New Roman" w:eastAsia="Times New Roman" w:hAnsi="Times New Roman" w:cs="Times New Roman"/>
                <w:sz w:val="24"/>
                <w:szCs w:val="24"/>
              </w:rPr>
              <w:lastRenderedPageBreak/>
              <w:t xml:space="preserve">future research directions," ACM Trans. </w:t>
            </w:r>
            <w:proofErr w:type="spellStart"/>
            <w:r>
              <w:rPr>
                <w:rFonts w:ascii="Times New Roman" w:eastAsia="Times New Roman" w:hAnsi="Times New Roman" w:cs="Times New Roman"/>
                <w:sz w:val="24"/>
                <w:szCs w:val="24"/>
              </w:rPr>
              <w:t>Softw</w:t>
            </w:r>
            <w:proofErr w:type="spellEnd"/>
            <w:r>
              <w:rPr>
                <w:rFonts w:ascii="Times New Roman" w:eastAsia="Times New Roman" w:hAnsi="Times New Roman" w:cs="Times New Roman"/>
                <w:sz w:val="24"/>
                <w:szCs w:val="24"/>
              </w:rPr>
              <w:t xml:space="preserve">. Eng. </w:t>
            </w:r>
            <w:proofErr w:type="spellStart"/>
            <w:r>
              <w:rPr>
                <w:rFonts w:ascii="Times New Roman" w:eastAsia="Times New Roman" w:hAnsi="Times New Roman" w:cs="Times New Roman"/>
                <w:sz w:val="24"/>
                <w:szCs w:val="24"/>
              </w:rPr>
              <w:t>Methodol</w:t>
            </w:r>
            <w:proofErr w:type="spellEnd"/>
            <w:r>
              <w:rPr>
                <w:rFonts w:ascii="Times New Roman" w:eastAsia="Times New Roman" w:hAnsi="Times New Roman" w:cs="Times New Roman"/>
                <w:sz w:val="24"/>
                <w:szCs w:val="24"/>
              </w:rPr>
              <w:t xml:space="preserve">., vol. 35, no. 10, pp. 1-37, 2026,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10.1145/3796519.</w:t>
            </w:r>
          </w:p>
        </w:tc>
        <w:tc>
          <w:tcPr>
            <w:tcW w:w="1704" w:type="dxa"/>
            <w:vAlign w:val="center"/>
          </w:tcPr>
          <w:p w14:paraId="5A26B52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Analyze MCP architecture and security</w:t>
            </w:r>
          </w:p>
        </w:tc>
        <w:tc>
          <w:tcPr>
            <w:tcW w:w="1704" w:type="dxa"/>
            <w:vAlign w:val="center"/>
          </w:tcPr>
          <w:p w14:paraId="1A008EE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Lifecycle analysis, threat taxonomy, real-world case studies</w:t>
            </w:r>
          </w:p>
        </w:tc>
        <w:tc>
          <w:tcPr>
            <w:tcW w:w="1704" w:type="dxa"/>
            <w:vAlign w:val="center"/>
          </w:tcPr>
          <w:p w14:paraId="2276354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4 lifecycle phases and 16 activities; 16 threat scenarios across 4 attacker types; phase-specific safeguards</w:t>
            </w:r>
          </w:p>
        </w:tc>
        <w:tc>
          <w:tcPr>
            <w:tcW w:w="1704" w:type="dxa"/>
            <w:vAlign w:val="center"/>
          </w:tcPr>
          <w:p w14:paraId="2BE732C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Fast-changing ecosystem</w:t>
            </w:r>
          </w:p>
        </w:tc>
        <w:tc>
          <w:tcPr>
            <w:tcW w:w="1380" w:type="dxa"/>
            <w:vAlign w:val="center"/>
          </w:tcPr>
          <w:p w14:paraId="5F93961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T6 Enforcement gap (AI agents)</w:t>
            </w:r>
          </w:p>
        </w:tc>
      </w:tr>
      <w:tr w:rsidR="000E2BB3" w14:paraId="3C5028CD" w14:textId="77777777">
        <w:trPr>
          <w:jc w:val="center"/>
        </w:trPr>
        <w:tc>
          <w:tcPr>
            <w:tcW w:w="625" w:type="dxa"/>
            <w:vAlign w:val="center"/>
          </w:tcPr>
          <w:p w14:paraId="26311F0E"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1704" w:type="dxa"/>
            <w:vAlign w:val="center"/>
          </w:tcPr>
          <w:p w14:paraId="45811C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DAMA International, DAMA-DMBOK: Data Management Body of Knowledge, 2nd ed., rev. Basking Ridge, NJ, USA: Technics Publications, 2024.</w:t>
            </w:r>
          </w:p>
        </w:tc>
        <w:tc>
          <w:tcPr>
            <w:tcW w:w="1704" w:type="dxa"/>
            <w:vAlign w:val="center"/>
          </w:tcPr>
          <w:p w14:paraId="053E81F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Codify data-management practice</w:t>
            </w:r>
          </w:p>
        </w:tc>
        <w:tc>
          <w:tcPr>
            <w:tcW w:w="1704" w:type="dxa"/>
            <w:vAlign w:val="center"/>
          </w:tcPr>
          <w:p w14:paraId="4A0CB57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Practitioner body of knowledge</w:t>
            </w:r>
          </w:p>
        </w:tc>
        <w:tc>
          <w:tcPr>
            <w:tcW w:w="1704" w:type="dxa"/>
            <w:vAlign w:val="center"/>
          </w:tcPr>
          <w:p w14:paraId="649ACD8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Data governance, metadata and data security are core knowledge areas with defined roles</w:t>
            </w:r>
          </w:p>
        </w:tc>
        <w:tc>
          <w:tcPr>
            <w:tcW w:w="1704" w:type="dxa"/>
            <w:vAlign w:val="center"/>
          </w:tcPr>
          <w:p w14:paraId="21CAB2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Consensus, not empirical</w:t>
            </w:r>
          </w:p>
        </w:tc>
        <w:tc>
          <w:tcPr>
            <w:tcW w:w="1380" w:type="dxa"/>
            <w:vAlign w:val="center"/>
          </w:tcPr>
          <w:p w14:paraId="783FA2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T3 Metadata</w:t>
            </w:r>
          </w:p>
        </w:tc>
      </w:tr>
      <w:tr w:rsidR="000E2BB3" w14:paraId="17F7C383" w14:textId="77777777">
        <w:trPr>
          <w:jc w:val="center"/>
        </w:trPr>
        <w:tc>
          <w:tcPr>
            <w:tcW w:w="625" w:type="dxa"/>
            <w:vAlign w:val="center"/>
          </w:tcPr>
          <w:p w14:paraId="6A3A209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c>
          <w:tcPr>
            <w:tcW w:w="1704" w:type="dxa"/>
            <w:vAlign w:val="center"/>
          </w:tcPr>
          <w:p w14:paraId="5301B5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 Kimball and M. Ross, The Data Warehouse Toolkit: The Definitive Guide to Dimensional Modeling, 3rd ed. Indianapolis, IN, USA: Wiley, 2013.</w:t>
            </w:r>
          </w:p>
        </w:tc>
        <w:tc>
          <w:tcPr>
            <w:tcW w:w="1704" w:type="dxa"/>
            <w:vAlign w:val="center"/>
          </w:tcPr>
          <w:p w14:paraId="03AB048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Teach dimensional modelling</w:t>
            </w:r>
          </w:p>
        </w:tc>
        <w:tc>
          <w:tcPr>
            <w:tcW w:w="1704" w:type="dxa"/>
            <w:vAlign w:val="center"/>
          </w:tcPr>
          <w:p w14:paraId="52D890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Design patterns and case studies</w:t>
            </w:r>
          </w:p>
        </w:tc>
        <w:tc>
          <w:tcPr>
            <w:tcW w:w="1704" w:type="dxa"/>
            <w:vAlign w:val="center"/>
          </w:tcPr>
          <w:p w14:paraId="5920A5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Star schemas and conformed dimensions: the OLAP design used in the POC</w:t>
            </w:r>
          </w:p>
        </w:tc>
        <w:tc>
          <w:tcPr>
            <w:tcW w:w="1704" w:type="dxa"/>
            <w:vAlign w:val="center"/>
          </w:tcPr>
          <w:p w14:paraId="5467053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 privacy content</w:t>
            </w:r>
          </w:p>
        </w:tc>
        <w:tc>
          <w:tcPr>
            <w:tcW w:w="1380" w:type="dxa"/>
            <w:vAlign w:val="center"/>
          </w:tcPr>
          <w:p w14:paraId="0F3FA7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(OLAP design)</w:t>
            </w:r>
          </w:p>
        </w:tc>
      </w:tr>
      <w:tr w:rsidR="000E2BB3" w14:paraId="7DDF412C" w14:textId="77777777">
        <w:trPr>
          <w:jc w:val="center"/>
        </w:trPr>
        <w:tc>
          <w:tcPr>
            <w:tcW w:w="625" w:type="dxa"/>
            <w:vAlign w:val="center"/>
          </w:tcPr>
          <w:p w14:paraId="171437C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1704" w:type="dxa"/>
            <w:vAlign w:val="center"/>
          </w:tcPr>
          <w:p w14:paraId="7DABC5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Jones, Driving Data Quality with Data Contracts. </w:t>
            </w:r>
            <w:r>
              <w:rPr>
                <w:rFonts w:ascii="Times New Roman" w:eastAsia="Times New Roman" w:hAnsi="Times New Roman" w:cs="Times New Roman"/>
                <w:sz w:val="24"/>
                <w:szCs w:val="24"/>
              </w:rPr>
              <w:lastRenderedPageBreak/>
              <w:t xml:space="preserve">Birmingham, U.K.: </w:t>
            </w:r>
            <w:proofErr w:type="spellStart"/>
            <w:r>
              <w:rPr>
                <w:rFonts w:ascii="Times New Roman" w:eastAsia="Times New Roman" w:hAnsi="Times New Roman" w:cs="Times New Roman"/>
                <w:sz w:val="24"/>
                <w:szCs w:val="24"/>
              </w:rPr>
              <w:t>Packt</w:t>
            </w:r>
            <w:proofErr w:type="spellEnd"/>
            <w:r>
              <w:rPr>
                <w:rFonts w:ascii="Times New Roman" w:eastAsia="Times New Roman" w:hAnsi="Times New Roman" w:cs="Times New Roman"/>
                <w:sz w:val="24"/>
                <w:szCs w:val="24"/>
              </w:rPr>
              <w:t>, 2023.</w:t>
            </w:r>
          </w:p>
        </w:tc>
        <w:tc>
          <w:tcPr>
            <w:tcW w:w="1704" w:type="dxa"/>
            <w:vAlign w:val="center"/>
          </w:tcPr>
          <w:p w14:paraId="41CB3A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Explain data contracts</w:t>
            </w:r>
          </w:p>
        </w:tc>
        <w:tc>
          <w:tcPr>
            <w:tcW w:w="1704" w:type="dxa"/>
            <w:vAlign w:val="center"/>
          </w:tcPr>
          <w:p w14:paraId="2C833FA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Practitioner guide</w:t>
            </w:r>
          </w:p>
        </w:tc>
        <w:tc>
          <w:tcPr>
            <w:tcW w:w="1704" w:type="dxa"/>
            <w:vAlign w:val="center"/>
          </w:tcPr>
          <w:p w14:paraId="422D3D0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contracts make producer-consumer obligations </w:t>
            </w:r>
            <w:r>
              <w:rPr>
                <w:rFonts w:ascii="Times New Roman" w:eastAsia="Times New Roman" w:hAnsi="Times New Roman" w:cs="Times New Roman"/>
                <w:sz w:val="24"/>
                <w:szCs w:val="24"/>
              </w:rPr>
              <w:lastRenderedPageBreak/>
              <w:t>explicit and machine-checkable</w:t>
            </w:r>
          </w:p>
        </w:tc>
        <w:tc>
          <w:tcPr>
            <w:tcW w:w="1704" w:type="dxa"/>
            <w:vAlign w:val="center"/>
          </w:tcPr>
          <w:p w14:paraId="5C8A6C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Practitioner view</w:t>
            </w:r>
          </w:p>
        </w:tc>
        <w:tc>
          <w:tcPr>
            <w:tcW w:w="1380" w:type="dxa"/>
            <w:vAlign w:val="center"/>
          </w:tcPr>
          <w:p w14:paraId="455F8E3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T6 Enforcement</w:t>
            </w:r>
          </w:p>
        </w:tc>
      </w:tr>
      <w:tr w:rsidR="000E2BB3" w14:paraId="02881920" w14:textId="77777777">
        <w:trPr>
          <w:jc w:val="center"/>
        </w:trPr>
        <w:tc>
          <w:tcPr>
            <w:tcW w:w="625" w:type="dxa"/>
            <w:vAlign w:val="center"/>
          </w:tcPr>
          <w:p w14:paraId="78D41E7B"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1704" w:type="dxa"/>
            <w:vAlign w:val="center"/>
          </w:tcPr>
          <w:p w14:paraId="7CA24B4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Z. Dehghani, Data Mesh: Delivering Data-Driven Value at Scale. Sebastopol, CA, USA: O'Reilly Media, 2022.</w:t>
            </w:r>
          </w:p>
        </w:tc>
        <w:tc>
          <w:tcPr>
            <w:tcW w:w="1704" w:type="dxa"/>
            <w:vAlign w:val="center"/>
          </w:tcPr>
          <w:p w14:paraId="792F6A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 the data-mesh paradigm</w:t>
            </w:r>
          </w:p>
        </w:tc>
        <w:tc>
          <w:tcPr>
            <w:tcW w:w="1704" w:type="dxa"/>
            <w:vAlign w:val="center"/>
          </w:tcPr>
          <w:p w14:paraId="2B1FB8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book</w:t>
            </w:r>
          </w:p>
        </w:tc>
        <w:tc>
          <w:tcPr>
            <w:tcW w:w="1704" w:type="dxa"/>
            <w:vAlign w:val="center"/>
          </w:tcPr>
          <w:p w14:paraId="7AE46BE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federated computational governance alongside domain ownership and data as a product</w:t>
            </w:r>
          </w:p>
        </w:tc>
        <w:tc>
          <w:tcPr>
            <w:tcW w:w="1704" w:type="dxa"/>
            <w:vAlign w:val="center"/>
          </w:tcPr>
          <w:p w14:paraId="280CDBC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Advocacy</w:t>
            </w:r>
          </w:p>
        </w:tc>
        <w:tc>
          <w:tcPr>
            <w:tcW w:w="1380" w:type="dxa"/>
            <w:vAlign w:val="center"/>
          </w:tcPr>
          <w:p w14:paraId="10575C9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T6 Enforcement</w:t>
            </w:r>
          </w:p>
        </w:tc>
      </w:tr>
      <w:tr w:rsidR="000E2BB3" w14:paraId="50E56496" w14:textId="77777777">
        <w:trPr>
          <w:jc w:val="center"/>
        </w:trPr>
        <w:tc>
          <w:tcPr>
            <w:tcW w:w="625" w:type="dxa"/>
            <w:vAlign w:val="center"/>
          </w:tcPr>
          <w:p w14:paraId="3A38954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1704" w:type="dxa"/>
            <w:vAlign w:val="center"/>
          </w:tcPr>
          <w:p w14:paraId="27C4790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 Qiao, Y. J. Ong, R. Routray, and R. C. Raphael, "Context aware sensitive information detection," U.S. Patent 10 984 316 B2, Apr. 20, 2021.</w:t>
            </w:r>
          </w:p>
        </w:tc>
        <w:tc>
          <w:tcPr>
            <w:tcW w:w="1704" w:type="dxa"/>
            <w:vAlign w:val="center"/>
          </w:tcPr>
          <w:p w14:paraId="3764BC8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Detect sensitive information with context</w:t>
            </w:r>
          </w:p>
        </w:tc>
        <w:tc>
          <w:tcPr>
            <w:tcW w:w="1704" w:type="dxa"/>
            <w:vAlign w:val="center"/>
          </w:tcPr>
          <w:p w14:paraId="2EA1EBA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 claims: bidirectional LSTM trained on samples, with confidence scores and retraining</w:t>
            </w:r>
          </w:p>
        </w:tc>
        <w:tc>
          <w:tcPr>
            <w:tcW w:w="1704" w:type="dxa"/>
            <w:vAlign w:val="center"/>
          </w:tcPr>
          <w:p w14:paraId="14DA204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High-confidence predictions are verified, added to the training set and used to retrain the network</w:t>
            </w:r>
          </w:p>
        </w:tc>
        <w:tc>
          <w:tcPr>
            <w:tcW w:w="1704" w:type="dxa"/>
            <w:vAlign w:val="center"/>
          </w:tcPr>
          <w:p w14:paraId="0F1485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Claims only; no published accuracy</w:t>
            </w:r>
          </w:p>
        </w:tc>
        <w:tc>
          <w:tcPr>
            <w:tcW w:w="1380" w:type="dxa"/>
            <w:vAlign w:val="center"/>
          </w:tcPr>
          <w:p w14:paraId="215EE78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and classification</w:t>
            </w:r>
          </w:p>
        </w:tc>
      </w:tr>
      <w:tr w:rsidR="000E2BB3" w14:paraId="413ED1D7" w14:textId="77777777">
        <w:trPr>
          <w:jc w:val="center"/>
        </w:trPr>
        <w:tc>
          <w:tcPr>
            <w:tcW w:w="625" w:type="dxa"/>
            <w:vAlign w:val="center"/>
          </w:tcPr>
          <w:p w14:paraId="0B50A4F7"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1704" w:type="dxa"/>
            <w:vAlign w:val="center"/>
          </w:tcPr>
          <w:p w14:paraId="2FD53C5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w:t>
            </w:r>
            <w:proofErr w:type="spellStart"/>
            <w:r>
              <w:rPr>
                <w:rFonts w:ascii="Times New Roman" w:eastAsia="Times New Roman" w:hAnsi="Times New Roman" w:cs="Times New Roman"/>
                <w:sz w:val="24"/>
                <w:szCs w:val="24"/>
              </w:rPr>
              <w:t>Enuka</w:t>
            </w:r>
            <w:proofErr w:type="spellEnd"/>
            <w:r>
              <w:rPr>
                <w:rFonts w:ascii="Times New Roman" w:eastAsia="Times New Roman" w:hAnsi="Times New Roman" w:cs="Times New Roman"/>
                <w:sz w:val="24"/>
                <w:szCs w:val="24"/>
              </w:rPr>
              <w:t>, N. Vax, E. Sacharov, and I. Apel, "Machine learning system and methods for determining confidence levels of personal information findings," U.S. Patent 11 113 633 B2, Sep. 7, 2021.</w:t>
            </w:r>
          </w:p>
        </w:tc>
        <w:tc>
          <w:tcPr>
            <w:tcW w:w="1704" w:type="dxa"/>
            <w:vAlign w:val="center"/>
          </w:tcPr>
          <w:p w14:paraId="2279DB8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Score confidence of personal-information findings</w:t>
            </w:r>
          </w:p>
        </w:tc>
        <w:tc>
          <w:tcPr>
            <w:tcW w:w="1704" w:type="dxa"/>
            <w:vAlign w:val="center"/>
          </w:tcPr>
          <w:p w14:paraId="37E7D42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 claims</w:t>
            </w:r>
          </w:p>
        </w:tc>
        <w:tc>
          <w:tcPr>
            <w:tcW w:w="1704" w:type="dxa"/>
            <w:vAlign w:val="center"/>
          </w:tcPr>
          <w:p w14:paraId="53C213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ML models classify findings as personal-information attributes and correlate them to data subjects with confidence levels</w:t>
            </w:r>
          </w:p>
        </w:tc>
        <w:tc>
          <w:tcPr>
            <w:tcW w:w="1704" w:type="dxa"/>
            <w:vAlign w:val="center"/>
          </w:tcPr>
          <w:p w14:paraId="577274E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claims</w:t>
            </w:r>
          </w:p>
        </w:tc>
        <w:tc>
          <w:tcPr>
            <w:tcW w:w="1380" w:type="dxa"/>
            <w:vAlign w:val="center"/>
          </w:tcPr>
          <w:p w14:paraId="5CFBC1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T5 Oversight</w:t>
            </w:r>
          </w:p>
        </w:tc>
      </w:tr>
      <w:tr w:rsidR="000E2BB3" w14:paraId="6AE3CE5A" w14:textId="77777777">
        <w:trPr>
          <w:jc w:val="center"/>
        </w:trPr>
        <w:tc>
          <w:tcPr>
            <w:tcW w:w="625" w:type="dxa"/>
            <w:vAlign w:val="center"/>
          </w:tcPr>
          <w:p w14:paraId="2204F4FB"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36</w:t>
            </w:r>
          </w:p>
        </w:tc>
        <w:tc>
          <w:tcPr>
            <w:tcW w:w="1704" w:type="dxa"/>
            <w:vAlign w:val="center"/>
          </w:tcPr>
          <w:p w14:paraId="33370CC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 </w:t>
            </w:r>
            <w:proofErr w:type="spellStart"/>
            <w:r>
              <w:rPr>
                <w:rFonts w:ascii="Times New Roman" w:eastAsia="Times New Roman" w:hAnsi="Times New Roman" w:cs="Times New Roman"/>
                <w:sz w:val="24"/>
                <w:szCs w:val="24"/>
              </w:rPr>
              <w:t>Kakui</w:t>
            </w:r>
            <w:proofErr w:type="spellEnd"/>
            <w:r>
              <w:rPr>
                <w:rFonts w:ascii="Times New Roman" w:eastAsia="Times New Roman" w:hAnsi="Times New Roman" w:cs="Times New Roman"/>
                <w:sz w:val="24"/>
                <w:szCs w:val="24"/>
              </w:rPr>
              <w:t>, "Data access control system and data access control method," U.S. Patent 11 556 661 B2, Jan. 17, 2023.</w:t>
            </w:r>
          </w:p>
        </w:tc>
        <w:tc>
          <w:tcPr>
            <w:tcW w:w="1704" w:type="dxa"/>
            <w:vAlign w:val="center"/>
          </w:tcPr>
          <w:p w14:paraId="61F25F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Derive access policies from metadata</w:t>
            </w:r>
          </w:p>
        </w:tc>
        <w:tc>
          <w:tcPr>
            <w:tcW w:w="1704" w:type="dxa"/>
            <w:vAlign w:val="center"/>
          </w:tcPr>
          <w:p w14:paraId="2A439B5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 claims: metadata, lineage and tag tables feeding a policy engine</w:t>
            </w:r>
          </w:p>
        </w:tc>
        <w:tc>
          <w:tcPr>
            <w:tcW w:w="1704" w:type="dxa"/>
            <w:vAlign w:val="center"/>
          </w:tcPr>
          <w:p w14:paraId="7EABEC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Access policy follows lineage: when a PII-tagged column is removed or masked downstream, a more permissive policy applies</w:t>
            </w:r>
          </w:p>
        </w:tc>
        <w:tc>
          <w:tcPr>
            <w:tcW w:w="1704" w:type="dxa"/>
            <w:vAlign w:val="center"/>
          </w:tcPr>
          <w:p w14:paraId="2490F07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Design, not evaluation</w:t>
            </w:r>
          </w:p>
        </w:tc>
        <w:tc>
          <w:tcPr>
            <w:tcW w:w="1380" w:type="dxa"/>
            <w:vAlign w:val="center"/>
          </w:tcPr>
          <w:p w14:paraId="6766B96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T6 Enforcement gap</w:t>
            </w:r>
          </w:p>
        </w:tc>
      </w:tr>
      <w:tr w:rsidR="000E2BB3" w14:paraId="339731F7" w14:textId="77777777">
        <w:trPr>
          <w:jc w:val="center"/>
        </w:trPr>
        <w:tc>
          <w:tcPr>
            <w:tcW w:w="625" w:type="dxa"/>
            <w:vAlign w:val="center"/>
          </w:tcPr>
          <w:p w14:paraId="4070516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w:t>
            </w:r>
          </w:p>
        </w:tc>
        <w:tc>
          <w:tcPr>
            <w:tcW w:w="1704" w:type="dxa"/>
            <w:vAlign w:val="center"/>
          </w:tcPr>
          <w:p w14:paraId="2FEF95E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 S. Raghavan, S. K. Murthy, and H. Madhusudhan, "Identification and classification of sensitive information in data catalog objects," U.S. Patent 12 038 948 B2, Jul. 16, 2024.</w:t>
            </w:r>
          </w:p>
        </w:tc>
        <w:tc>
          <w:tcPr>
            <w:tcW w:w="1704" w:type="dxa"/>
            <w:vAlign w:val="center"/>
          </w:tcPr>
          <w:p w14:paraId="15560B8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Classify sensitive data inside a data catalogue</w:t>
            </w:r>
          </w:p>
        </w:tc>
        <w:tc>
          <w:tcPr>
            <w:tcW w:w="1704" w:type="dxa"/>
            <w:vAlign w:val="center"/>
          </w:tcPr>
          <w:p w14:paraId="2104AF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 claims</w:t>
            </w:r>
          </w:p>
        </w:tc>
        <w:tc>
          <w:tcPr>
            <w:tcW w:w="1704" w:type="dxa"/>
            <w:vAlign w:val="center"/>
          </w:tcPr>
          <w:p w14:paraId="4BDE034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Weights confidence scores from several detection techniques into a sensitivity score; thresholds assign catalogue labels (tags, glossary terms) used by downstream masking</w:t>
            </w:r>
          </w:p>
        </w:tc>
        <w:tc>
          <w:tcPr>
            <w:tcW w:w="1704" w:type="dxa"/>
            <w:vAlign w:val="center"/>
          </w:tcPr>
          <w:p w14:paraId="1F31392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claims; no accuracy data</w:t>
            </w:r>
          </w:p>
        </w:tc>
        <w:tc>
          <w:tcPr>
            <w:tcW w:w="1380" w:type="dxa"/>
            <w:vAlign w:val="center"/>
          </w:tcPr>
          <w:p w14:paraId="3E6B408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T6 Enforcement</w:t>
            </w:r>
          </w:p>
        </w:tc>
      </w:tr>
      <w:tr w:rsidR="000E2BB3" w14:paraId="174D88C6" w14:textId="77777777">
        <w:trPr>
          <w:jc w:val="center"/>
        </w:trPr>
        <w:tc>
          <w:tcPr>
            <w:tcW w:w="625" w:type="dxa"/>
            <w:vAlign w:val="center"/>
          </w:tcPr>
          <w:p w14:paraId="4A64B00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c>
          <w:tcPr>
            <w:tcW w:w="1704" w:type="dxa"/>
            <w:vAlign w:val="center"/>
          </w:tcPr>
          <w:p w14:paraId="13C24B4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 Radhakrishnan, "Automatic classification of data sensitivity through machine learning," U.S. Patent 11 809 980 B1, Nov. 7, 2023.</w:t>
            </w:r>
          </w:p>
        </w:tc>
        <w:tc>
          <w:tcPr>
            <w:tcW w:w="1704" w:type="dxa"/>
            <w:vAlign w:val="center"/>
          </w:tcPr>
          <w:p w14:paraId="1FCE758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Classify sensitivity of tabular data</w:t>
            </w:r>
          </w:p>
        </w:tc>
        <w:tc>
          <w:tcPr>
            <w:tcW w:w="1704" w:type="dxa"/>
            <w:vAlign w:val="center"/>
          </w:tcPr>
          <w:p w14:paraId="4E7F7F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Patent claims</w:t>
            </w:r>
          </w:p>
        </w:tc>
        <w:tc>
          <w:tcPr>
            <w:tcW w:w="1704" w:type="dxa"/>
            <w:vAlign w:val="center"/>
          </w:tcPr>
          <w:p w14:paraId="0C41B7D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models: one scores a column from its header, the other from individual values (mirrors </w:t>
            </w:r>
            <w:proofErr w:type="spellStart"/>
            <w:r>
              <w:rPr>
                <w:rFonts w:ascii="Times New Roman" w:eastAsia="Times New Roman" w:hAnsi="Times New Roman" w:cs="Times New Roman"/>
                <w:sz w:val="24"/>
                <w:szCs w:val="24"/>
              </w:rPr>
              <w:t>OpenMetadata's</w:t>
            </w:r>
            <w:proofErr w:type="spellEnd"/>
            <w:r>
              <w:rPr>
                <w:rFonts w:ascii="Times New Roman" w:eastAsia="Times New Roman" w:hAnsi="Times New Roman" w:cs="Times New Roman"/>
                <w:sz w:val="24"/>
                <w:szCs w:val="24"/>
              </w:rPr>
              <w:t xml:space="preserve"> name and content recognizers)</w:t>
            </w:r>
          </w:p>
        </w:tc>
        <w:tc>
          <w:tcPr>
            <w:tcW w:w="1704" w:type="dxa"/>
            <w:vAlign w:val="center"/>
          </w:tcPr>
          <w:p w14:paraId="50362A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Claims only</w:t>
            </w:r>
          </w:p>
        </w:tc>
        <w:tc>
          <w:tcPr>
            <w:tcW w:w="1380" w:type="dxa"/>
            <w:vAlign w:val="center"/>
          </w:tcPr>
          <w:p w14:paraId="49031BC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and classification</w:t>
            </w:r>
          </w:p>
        </w:tc>
      </w:tr>
      <w:tr w:rsidR="000E2BB3" w14:paraId="34874403" w14:textId="77777777">
        <w:trPr>
          <w:jc w:val="center"/>
        </w:trPr>
        <w:tc>
          <w:tcPr>
            <w:tcW w:w="625" w:type="dxa"/>
            <w:vAlign w:val="center"/>
          </w:tcPr>
          <w:p w14:paraId="1484C17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39</w:t>
            </w:r>
          </w:p>
        </w:tc>
        <w:tc>
          <w:tcPr>
            <w:tcW w:w="1704" w:type="dxa"/>
            <w:vAlign w:val="center"/>
          </w:tcPr>
          <w:p w14:paraId="43FF9C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Information Protection and Electronic Documents Act, S.C. 2000, c. 5. [Online]. Available: https://laws-lois.justice.gc.ca/eng/acts/P-8.6/</w:t>
            </w:r>
          </w:p>
        </w:tc>
        <w:tc>
          <w:tcPr>
            <w:tcW w:w="1704" w:type="dxa"/>
            <w:vAlign w:val="center"/>
          </w:tcPr>
          <w:p w14:paraId="402A38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Govern private-sector handling of personal information</w:t>
            </w:r>
          </w:p>
        </w:tc>
        <w:tc>
          <w:tcPr>
            <w:tcW w:w="1704" w:type="dxa"/>
            <w:vAlign w:val="center"/>
          </w:tcPr>
          <w:p w14:paraId="2EB9A09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Statute (Schedule 1 fair information principles)</w:t>
            </w:r>
          </w:p>
        </w:tc>
        <w:tc>
          <w:tcPr>
            <w:tcW w:w="1704" w:type="dxa"/>
            <w:vAlign w:val="center"/>
          </w:tcPr>
          <w:p w14:paraId="22537C7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Ten principles: accountability, identifying purposes, consent, limiting collection, limiting use and retention, accuracy, safeguards, openness, individual access, challenging compliance</w:t>
            </w:r>
          </w:p>
        </w:tc>
        <w:tc>
          <w:tcPr>
            <w:tcW w:w="1704" w:type="dxa"/>
            <w:vAlign w:val="center"/>
          </w:tcPr>
          <w:p w14:paraId="77DA4AA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May be replaced by Bill C-36</w:t>
            </w:r>
          </w:p>
        </w:tc>
        <w:tc>
          <w:tcPr>
            <w:tcW w:w="1380" w:type="dxa"/>
            <w:vAlign w:val="center"/>
          </w:tcPr>
          <w:p w14:paraId="0C6FB53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Canadian regulatory expectations</w:t>
            </w:r>
          </w:p>
        </w:tc>
      </w:tr>
      <w:tr w:rsidR="000E2BB3" w14:paraId="56515019" w14:textId="77777777">
        <w:trPr>
          <w:jc w:val="center"/>
        </w:trPr>
        <w:tc>
          <w:tcPr>
            <w:tcW w:w="625" w:type="dxa"/>
            <w:vAlign w:val="center"/>
          </w:tcPr>
          <w:p w14:paraId="444902C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p>
        </w:tc>
        <w:tc>
          <w:tcPr>
            <w:tcW w:w="1704" w:type="dxa"/>
            <w:vAlign w:val="center"/>
          </w:tcPr>
          <w:p w14:paraId="3FFD58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Breach of Security Safeguards Regulations, SOR/2018-64, 2018. [Online]. Available: https://laws-lois.justice.gc.ca/eng/regulations/SOR-2018-64/</w:t>
            </w:r>
          </w:p>
        </w:tc>
        <w:tc>
          <w:tcPr>
            <w:tcW w:w="1704" w:type="dxa"/>
            <w:vAlign w:val="center"/>
          </w:tcPr>
          <w:p w14:paraId="754855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Set breach reporting and record rules</w:t>
            </w:r>
          </w:p>
        </w:tc>
        <w:tc>
          <w:tcPr>
            <w:tcW w:w="1704" w:type="dxa"/>
            <w:vAlign w:val="center"/>
          </w:tcPr>
          <w:p w14:paraId="72F2055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Regulation</w:t>
            </w:r>
          </w:p>
        </w:tc>
        <w:tc>
          <w:tcPr>
            <w:tcW w:w="1704" w:type="dxa"/>
            <w:vAlign w:val="center"/>
          </w:tcPr>
          <w:p w14:paraId="49C2DB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Organizations must keep a record of every breach for 24 months</w:t>
            </w:r>
          </w:p>
        </w:tc>
        <w:tc>
          <w:tcPr>
            <w:tcW w:w="1704" w:type="dxa"/>
            <w:vAlign w:val="center"/>
          </w:tcPr>
          <w:p w14:paraId="536401F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Narrow scope</w:t>
            </w:r>
          </w:p>
        </w:tc>
        <w:tc>
          <w:tcPr>
            <w:tcW w:w="1380" w:type="dxa"/>
            <w:vAlign w:val="center"/>
          </w:tcPr>
          <w:p w14:paraId="3EAB8D1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Canadian regulatory expectations</w:t>
            </w:r>
          </w:p>
        </w:tc>
      </w:tr>
      <w:tr w:rsidR="000E2BB3" w14:paraId="3D6DDD98" w14:textId="77777777">
        <w:trPr>
          <w:jc w:val="center"/>
        </w:trPr>
        <w:tc>
          <w:tcPr>
            <w:tcW w:w="625" w:type="dxa"/>
            <w:vAlign w:val="center"/>
          </w:tcPr>
          <w:p w14:paraId="087AC2A0"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1704" w:type="dxa"/>
            <w:vAlign w:val="center"/>
          </w:tcPr>
          <w:p w14:paraId="68892B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Parliament of Canada, Bill C-36 (45-1), Protecting Privacy and Consumer Data Act, first reading Jun. 15, 2026. [Online]. Available: https://www.parl.ca/legisinfo/</w:t>
            </w:r>
            <w:r>
              <w:rPr>
                <w:rFonts w:ascii="Times New Roman" w:eastAsia="Times New Roman" w:hAnsi="Times New Roman" w:cs="Times New Roman"/>
                <w:sz w:val="24"/>
                <w:szCs w:val="24"/>
              </w:rPr>
              <w:lastRenderedPageBreak/>
              <w:t>en/bill/45-1/c-36</w:t>
            </w:r>
          </w:p>
        </w:tc>
        <w:tc>
          <w:tcPr>
            <w:tcW w:w="1704" w:type="dxa"/>
            <w:vAlign w:val="center"/>
          </w:tcPr>
          <w:p w14:paraId="71454AA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Replace PIPEDA Part 1</w:t>
            </w:r>
          </w:p>
        </w:tc>
        <w:tc>
          <w:tcPr>
            <w:tcW w:w="1704" w:type="dxa"/>
            <w:vAlign w:val="center"/>
          </w:tcPr>
          <w:p w14:paraId="0A4E5D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Government bill</w:t>
            </w:r>
          </w:p>
        </w:tc>
        <w:tc>
          <w:tcPr>
            <w:tcW w:w="1704" w:type="dxa"/>
            <w:vAlign w:val="center"/>
          </w:tcPr>
          <w:p w14:paraId="7B6FBB0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First reading 15 June 2026; would enact the Protecting Privacy and Consumer Data Act and amend PIPEDA</w:t>
            </w:r>
          </w:p>
        </w:tc>
        <w:tc>
          <w:tcPr>
            <w:tcW w:w="1704" w:type="dxa"/>
            <w:vAlign w:val="center"/>
          </w:tcPr>
          <w:p w14:paraId="08662C4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law; may change</w:t>
            </w:r>
          </w:p>
        </w:tc>
        <w:tc>
          <w:tcPr>
            <w:tcW w:w="1380" w:type="dxa"/>
            <w:vAlign w:val="center"/>
          </w:tcPr>
          <w:p w14:paraId="52BD262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Canadian regulatory expectations</w:t>
            </w:r>
          </w:p>
        </w:tc>
      </w:tr>
      <w:tr w:rsidR="000E2BB3" w14:paraId="1679F68B" w14:textId="77777777">
        <w:trPr>
          <w:jc w:val="center"/>
        </w:trPr>
        <w:tc>
          <w:tcPr>
            <w:tcW w:w="625" w:type="dxa"/>
            <w:vAlign w:val="center"/>
          </w:tcPr>
          <w:p w14:paraId="3ADADCDF"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1704" w:type="dxa"/>
            <w:vAlign w:val="center"/>
          </w:tcPr>
          <w:p w14:paraId="795829E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Privacy Commissioner of Canada, Guidelines for obtaining meaningful consent, 2018. [Online]. Available: https://www.priv.gc.ca/en/privacy-topics/collecting-personal-information/consent/gl_omc_201805/</w:t>
            </w:r>
          </w:p>
        </w:tc>
        <w:tc>
          <w:tcPr>
            <w:tcW w:w="1704" w:type="dxa"/>
            <w:vAlign w:val="center"/>
          </w:tcPr>
          <w:p w14:paraId="464B98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Interpret PIPEDA consent requirements</w:t>
            </w:r>
          </w:p>
        </w:tc>
        <w:tc>
          <w:tcPr>
            <w:tcW w:w="1704" w:type="dxa"/>
            <w:vAlign w:val="center"/>
          </w:tcPr>
          <w:p w14:paraId="5D35624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c>
          <w:tcPr>
            <w:tcW w:w="1704" w:type="dxa"/>
            <w:vAlign w:val="center"/>
          </w:tcPr>
          <w:p w14:paraId="64083CD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Organizations must generally obtain express consent for sensitive information, unexpected uses, or meaningful risk of significant harm</w:t>
            </w:r>
          </w:p>
        </w:tc>
        <w:tc>
          <w:tcPr>
            <w:tcW w:w="1704" w:type="dxa"/>
            <w:vAlign w:val="center"/>
          </w:tcPr>
          <w:p w14:paraId="2B14134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Non-binding interpretation</w:t>
            </w:r>
          </w:p>
        </w:tc>
        <w:tc>
          <w:tcPr>
            <w:tcW w:w="1380" w:type="dxa"/>
            <w:vAlign w:val="center"/>
          </w:tcPr>
          <w:p w14:paraId="3C3348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Canadian regulatory expectations</w:t>
            </w:r>
          </w:p>
        </w:tc>
      </w:tr>
      <w:tr w:rsidR="000E2BB3" w14:paraId="51B84272" w14:textId="77777777">
        <w:trPr>
          <w:jc w:val="center"/>
        </w:trPr>
        <w:tc>
          <w:tcPr>
            <w:tcW w:w="625" w:type="dxa"/>
            <w:vAlign w:val="center"/>
          </w:tcPr>
          <w:p w14:paraId="5FF3E658"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1704" w:type="dxa"/>
            <w:vAlign w:val="center"/>
          </w:tcPr>
          <w:p w14:paraId="2AD8B27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Privacy Commissioner of Canada, Interpretation bulletin: Sensitive information, 2022. [Online]. Available: https://www.priv.gc.ca/en/privacy-topics/privacy-laws-in-canada/the-personal-information-protection-and-electronic-documents-act-</w:t>
            </w:r>
            <w:r>
              <w:rPr>
                <w:rFonts w:ascii="Times New Roman" w:eastAsia="Times New Roman" w:hAnsi="Times New Roman" w:cs="Times New Roman"/>
                <w:sz w:val="24"/>
                <w:szCs w:val="24"/>
              </w:rPr>
              <w:lastRenderedPageBreak/>
              <w:t>pipeda/pipeda-compliance-help/pipeda-interpretation-bulletins/interpretations_10_sensible/</w:t>
            </w:r>
          </w:p>
        </w:tc>
        <w:tc>
          <w:tcPr>
            <w:tcW w:w="1704" w:type="dxa"/>
            <w:vAlign w:val="center"/>
          </w:tcPr>
          <w:p w14:paraId="564403D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Explain which personal information is sensitive</w:t>
            </w:r>
          </w:p>
        </w:tc>
        <w:tc>
          <w:tcPr>
            <w:tcW w:w="1704" w:type="dxa"/>
            <w:vAlign w:val="center"/>
          </w:tcPr>
          <w:p w14:paraId="0A53D27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c>
          <w:tcPr>
            <w:tcW w:w="1704" w:type="dxa"/>
            <w:vAlign w:val="center"/>
          </w:tcPr>
          <w:p w14:paraId="4CBE72D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Financial and health data are generally sensitive, but sensitivity depends on context and combinations</w:t>
            </w:r>
          </w:p>
        </w:tc>
        <w:tc>
          <w:tcPr>
            <w:tcW w:w="1704" w:type="dxa"/>
            <w:vAlign w:val="center"/>
          </w:tcPr>
          <w:p w14:paraId="4148070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Non-binding interpretation</w:t>
            </w:r>
          </w:p>
        </w:tc>
        <w:tc>
          <w:tcPr>
            <w:tcW w:w="1380" w:type="dxa"/>
            <w:vAlign w:val="center"/>
          </w:tcPr>
          <w:p w14:paraId="03438E5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Discovery; T4 Regulation</w:t>
            </w:r>
          </w:p>
        </w:tc>
      </w:tr>
      <w:tr w:rsidR="000E2BB3" w14:paraId="3FB0E4EF" w14:textId="77777777">
        <w:trPr>
          <w:jc w:val="center"/>
        </w:trPr>
        <w:tc>
          <w:tcPr>
            <w:tcW w:w="625" w:type="dxa"/>
            <w:vAlign w:val="center"/>
          </w:tcPr>
          <w:p w14:paraId="24D9FB04"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44</w:t>
            </w:r>
          </w:p>
        </w:tc>
        <w:tc>
          <w:tcPr>
            <w:tcW w:w="1704" w:type="dxa"/>
            <w:vAlign w:val="center"/>
          </w:tcPr>
          <w:p w14:paraId="597F8C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Privacy Commissioner of Canada, "Investigation into Desjardins' compliance with PIPEDA following a breach of personal information between 2017 and 2019," PIPEDA Findings #2020-005, Dec. 2020.</w:t>
            </w:r>
          </w:p>
        </w:tc>
        <w:tc>
          <w:tcPr>
            <w:tcW w:w="1704" w:type="dxa"/>
            <w:vAlign w:val="center"/>
          </w:tcPr>
          <w:p w14:paraId="0D432E4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Investigate the Desjardins breach</w:t>
            </w:r>
          </w:p>
        </w:tc>
        <w:tc>
          <w:tcPr>
            <w:tcW w:w="1704" w:type="dxa"/>
            <w:vAlign w:val="center"/>
          </w:tcPr>
          <w:p w14:paraId="6553CE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Formal investigation</w:t>
            </w:r>
          </w:p>
        </w:tc>
        <w:tc>
          <w:tcPr>
            <w:tcW w:w="1704" w:type="dxa"/>
            <w:vAlign w:val="center"/>
          </w:tcPr>
          <w:p w14:paraId="5B20747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Breach of about 9.7 million people; failures of accountability, retention and safeguards, including data kept in two warehouses an insider could reach</w:t>
            </w:r>
          </w:p>
        </w:tc>
        <w:tc>
          <w:tcPr>
            <w:tcW w:w="1704" w:type="dxa"/>
            <w:vAlign w:val="center"/>
          </w:tcPr>
          <w:p w14:paraId="0720D94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Single case</w:t>
            </w:r>
          </w:p>
        </w:tc>
        <w:tc>
          <w:tcPr>
            <w:tcW w:w="1380" w:type="dxa"/>
            <w:vAlign w:val="center"/>
          </w:tcPr>
          <w:p w14:paraId="123CC07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Regulation; T6 Enforcement</w:t>
            </w:r>
          </w:p>
        </w:tc>
      </w:tr>
      <w:tr w:rsidR="000E2BB3" w14:paraId="3EB1BF78" w14:textId="77777777">
        <w:trPr>
          <w:jc w:val="center"/>
        </w:trPr>
        <w:tc>
          <w:tcPr>
            <w:tcW w:w="625" w:type="dxa"/>
            <w:vAlign w:val="center"/>
          </w:tcPr>
          <w:p w14:paraId="004B6BC9"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45</w:t>
            </w:r>
          </w:p>
        </w:tc>
        <w:tc>
          <w:tcPr>
            <w:tcW w:w="1704" w:type="dxa"/>
            <w:vAlign w:val="center"/>
          </w:tcPr>
          <w:p w14:paraId="6872B20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Superintendent of Financial Institutions, Guideline B-13: Technology and cyber risk management, Jul. 2022. [Online]. Available: https://www.osfi-bsif.gc.ca/en/guidance/guidan</w:t>
            </w:r>
            <w:r>
              <w:rPr>
                <w:rFonts w:ascii="Times New Roman" w:eastAsia="Times New Roman" w:hAnsi="Times New Roman" w:cs="Times New Roman"/>
                <w:sz w:val="24"/>
                <w:szCs w:val="24"/>
              </w:rPr>
              <w:lastRenderedPageBreak/>
              <w:t>ce-library/technology-cyber-risk-management</w:t>
            </w:r>
          </w:p>
        </w:tc>
        <w:tc>
          <w:tcPr>
            <w:tcW w:w="1704" w:type="dxa"/>
            <w:vAlign w:val="center"/>
          </w:tcPr>
          <w:p w14:paraId="132445E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Set technology and cyber-risk expectations for FRFIs</w:t>
            </w:r>
          </w:p>
        </w:tc>
        <w:tc>
          <w:tcPr>
            <w:tcW w:w="1704" w:type="dxa"/>
            <w:vAlign w:val="center"/>
          </w:tcPr>
          <w:p w14:paraId="719AA03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guideline</w:t>
            </w:r>
          </w:p>
        </w:tc>
        <w:tc>
          <w:tcPr>
            <w:tcW w:w="1704" w:type="dxa"/>
            <w:vAlign w:val="center"/>
          </w:tcPr>
          <w:p w14:paraId="540103A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FRFIs should identify, classify and protect data by confidentiality and run periodic discovery scans (s. 3.1.4)</w:t>
            </w:r>
          </w:p>
        </w:tc>
        <w:tc>
          <w:tcPr>
            <w:tcW w:w="1704" w:type="dxa"/>
            <w:vAlign w:val="center"/>
          </w:tcPr>
          <w:p w14:paraId="45F69F0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Principles-based</w:t>
            </w:r>
          </w:p>
        </w:tc>
        <w:tc>
          <w:tcPr>
            <w:tcW w:w="1380" w:type="dxa"/>
            <w:vAlign w:val="center"/>
          </w:tcPr>
          <w:p w14:paraId="214066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Regulation; T2 Discovery</w:t>
            </w:r>
          </w:p>
        </w:tc>
      </w:tr>
      <w:tr w:rsidR="000E2BB3" w14:paraId="50239EE4" w14:textId="77777777">
        <w:trPr>
          <w:jc w:val="center"/>
        </w:trPr>
        <w:tc>
          <w:tcPr>
            <w:tcW w:w="625" w:type="dxa"/>
            <w:vAlign w:val="center"/>
          </w:tcPr>
          <w:p w14:paraId="440B268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w:t>
            </w:r>
          </w:p>
        </w:tc>
        <w:tc>
          <w:tcPr>
            <w:tcW w:w="1704" w:type="dxa"/>
            <w:vAlign w:val="center"/>
          </w:tcPr>
          <w:p w14:paraId="7AD1CAE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Office of the Superintendent of Financial Institutions, Guideline E-23: Model risk management (2027), Sep. 2025. [Online]. Available: https://www.osfi-bsif.gc.ca/en/guidance/guidance-library/guideline-e-23-model-risk-management-2027</w:t>
            </w:r>
          </w:p>
        </w:tc>
        <w:tc>
          <w:tcPr>
            <w:tcW w:w="1704" w:type="dxa"/>
            <w:vAlign w:val="center"/>
          </w:tcPr>
          <w:p w14:paraId="5D61F3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Set model-risk expectations including AI</w:t>
            </w:r>
          </w:p>
        </w:tc>
        <w:tc>
          <w:tcPr>
            <w:tcW w:w="1704" w:type="dxa"/>
            <w:vAlign w:val="center"/>
          </w:tcPr>
          <w:p w14:paraId="11BA2D4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guideline</w:t>
            </w:r>
          </w:p>
        </w:tc>
        <w:tc>
          <w:tcPr>
            <w:tcW w:w="1704" w:type="dxa"/>
            <w:vAlign w:val="center"/>
          </w:tcPr>
          <w:p w14:paraId="2E68F9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Final 11 Sep. 2025, effective 1 May 2027; AI/ML models fall under enterprise model inventory and governance</w:t>
            </w:r>
          </w:p>
        </w:tc>
        <w:tc>
          <w:tcPr>
            <w:tcW w:w="1704" w:type="dxa"/>
            <w:vAlign w:val="center"/>
          </w:tcPr>
          <w:p w14:paraId="0C2A412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Not yet in force</w:t>
            </w:r>
          </w:p>
        </w:tc>
        <w:tc>
          <w:tcPr>
            <w:tcW w:w="1380" w:type="dxa"/>
            <w:vAlign w:val="center"/>
          </w:tcPr>
          <w:p w14:paraId="4C1156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4CC5B9D8" w14:textId="77777777">
        <w:trPr>
          <w:jc w:val="center"/>
        </w:trPr>
        <w:tc>
          <w:tcPr>
            <w:tcW w:w="625" w:type="dxa"/>
            <w:vAlign w:val="center"/>
          </w:tcPr>
          <w:p w14:paraId="0193608E"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47</w:t>
            </w:r>
          </w:p>
        </w:tc>
        <w:tc>
          <w:tcPr>
            <w:tcW w:w="1704" w:type="dxa"/>
            <w:vAlign w:val="center"/>
          </w:tcPr>
          <w:p w14:paraId="0DEBE54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FINTRAC, Record keeping requirements for financial entities. [Online]. Available: https://fintrac-canafe.canada.ca/guidance-directives/recordkeeping-document/record/fin-eng</w:t>
            </w:r>
          </w:p>
        </w:tc>
        <w:tc>
          <w:tcPr>
            <w:tcW w:w="1704" w:type="dxa"/>
            <w:vAlign w:val="center"/>
          </w:tcPr>
          <w:p w14:paraId="2DC6B4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Set AML record-keeping duties</w:t>
            </w:r>
          </w:p>
        </w:tc>
        <w:tc>
          <w:tcPr>
            <w:tcW w:w="1704" w:type="dxa"/>
            <w:vAlign w:val="center"/>
          </w:tcPr>
          <w:p w14:paraId="3B16A91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c>
          <w:tcPr>
            <w:tcW w:w="1704" w:type="dxa"/>
            <w:vAlign w:val="center"/>
          </w:tcPr>
          <w:p w14:paraId="6F60DA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Copies of reports such as large cash transaction reports must be kept at least five years</w:t>
            </w:r>
          </w:p>
        </w:tc>
        <w:tc>
          <w:tcPr>
            <w:tcW w:w="1704" w:type="dxa"/>
            <w:vAlign w:val="center"/>
          </w:tcPr>
          <w:p w14:paraId="71B07F3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Pages change over time</w:t>
            </w:r>
          </w:p>
        </w:tc>
        <w:tc>
          <w:tcPr>
            <w:tcW w:w="1380" w:type="dxa"/>
            <w:vAlign w:val="center"/>
          </w:tcPr>
          <w:p w14:paraId="1B0C953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Regulation (retention tension)</w:t>
            </w:r>
          </w:p>
        </w:tc>
      </w:tr>
      <w:tr w:rsidR="000E2BB3" w14:paraId="2DE8705B" w14:textId="77777777">
        <w:trPr>
          <w:jc w:val="center"/>
        </w:trPr>
        <w:tc>
          <w:tcPr>
            <w:tcW w:w="625" w:type="dxa"/>
            <w:vAlign w:val="center"/>
          </w:tcPr>
          <w:p w14:paraId="58778343"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48</w:t>
            </w:r>
          </w:p>
        </w:tc>
        <w:tc>
          <w:tcPr>
            <w:tcW w:w="1704" w:type="dxa"/>
            <w:vAlign w:val="center"/>
          </w:tcPr>
          <w:p w14:paraId="7BF37B7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FINTRAC, Reporting large cash transactions to FINTRAC. [Online]. Available: https://fintrac-canafe.canada.ca/guidance-directives/transaction-operation/lctr-doie/lctr-doie-eng</w:t>
            </w:r>
          </w:p>
        </w:tc>
        <w:tc>
          <w:tcPr>
            <w:tcW w:w="1704" w:type="dxa"/>
            <w:vAlign w:val="center"/>
          </w:tcPr>
          <w:p w14:paraId="46D4E4D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 large cash transaction reporting</w:t>
            </w:r>
          </w:p>
        </w:tc>
        <w:tc>
          <w:tcPr>
            <w:tcW w:w="1704" w:type="dxa"/>
            <w:vAlign w:val="center"/>
          </w:tcPr>
          <w:p w14:paraId="705CE18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 guidance</w:t>
            </w:r>
          </w:p>
        </w:tc>
        <w:tc>
          <w:tcPr>
            <w:tcW w:w="1704" w:type="dxa"/>
            <w:vAlign w:val="center"/>
          </w:tcPr>
          <w:p w14:paraId="3645D45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Report cash of $10,000 or more in one transaction or within 24 consecutive hours</w:t>
            </w:r>
          </w:p>
        </w:tc>
        <w:tc>
          <w:tcPr>
            <w:tcW w:w="1704" w:type="dxa"/>
            <w:vAlign w:val="center"/>
          </w:tcPr>
          <w:p w14:paraId="2FEEBEB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Pages change over time</w:t>
            </w:r>
          </w:p>
        </w:tc>
        <w:tc>
          <w:tcPr>
            <w:tcW w:w="1380" w:type="dxa"/>
            <w:vAlign w:val="center"/>
          </w:tcPr>
          <w:p w14:paraId="7517D23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Canadian regulatory expectations</w:t>
            </w:r>
          </w:p>
        </w:tc>
      </w:tr>
      <w:tr w:rsidR="000E2BB3" w14:paraId="7F77B515" w14:textId="77777777">
        <w:trPr>
          <w:jc w:val="center"/>
        </w:trPr>
        <w:tc>
          <w:tcPr>
            <w:tcW w:w="625" w:type="dxa"/>
            <w:vAlign w:val="center"/>
          </w:tcPr>
          <w:p w14:paraId="492B2DF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c>
          <w:tcPr>
            <w:tcW w:w="1704" w:type="dxa"/>
            <w:vAlign w:val="center"/>
          </w:tcPr>
          <w:p w14:paraId="188E836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Information technology - Governance of IT - Governance of data - Part 1, ISO/IEC 38505-1:2026, 2nd ed., 2026.</w:t>
            </w:r>
          </w:p>
        </w:tc>
        <w:tc>
          <w:tcPr>
            <w:tcW w:w="1704" w:type="dxa"/>
            <w:vAlign w:val="center"/>
          </w:tcPr>
          <w:p w14:paraId="2E5465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 governing bodies on the use of data</w:t>
            </w:r>
          </w:p>
        </w:tc>
        <w:tc>
          <w:tcPr>
            <w:tcW w:w="1704" w:type="dxa"/>
            <w:vAlign w:val="center"/>
          </w:tcPr>
          <w:p w14:paraId="76D72E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c>
          <w:tcPr>
            <w:tcW w:w="1704" w:type="dxa"/>
            <w:vAlign w:val="center"/>
          </w:tcPr>
          <w:p w14:paraId="383047A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Applies the ISO/IEC 38500 governance model to data; second edition replaces the 2017 edition</w:t>
            </w:r>
          </w:p>
        </w:tc>
        <w:tc>
          <w:tcPr>
            <w:tcW w:w="1704" w:type="dxa"/>
            <w:vAlign w:val="center"/>
          </w:tcPr>
          <w:p w14:paraId="2F3916B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read at abstract level</w:t>
            </w:r>
          </w:p>
        </w:tc>
        <w:tc>
          <w:tcPr>
            <w:tcW w:w="1380" w:type="dxa"/>
            <w:vAlign w:val="center"/>
          </w:tcPr>
          <w:p w14:paraId="3C28AC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T1 Governance and accountability</w:t>
            </w:r>
          </w:p>
        </w:tc>
      </w:tr>
      <w:tr w:rsidR="000E2BB3" w14:paraId="1FEE8AF6" w14:textId="77777777">
        <w:trPr>
          <w:jc w:val="center"/>
        </w:trPr>
        <w:tc>
          <w:tcPr>
            <w:tcW w:w="625" w:type="dxa"/>
            <w:vAlign w:val="center"/>
          </w:tcPr>
          <w:p w14:paraId="2E6AF27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1704" w:type="dxa"/>
            <w:vAlign w:val="center"/>
          </w:tcPr>
          <w:p w14:paraId="57E3D7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Privacy information management systems - Requirements and guidance, ISO/IEC 27701:2025, 2025.</w:t>
            </w:r>
          </w:p>
        </w:tc>
        <w:tc>
          <w:tcPr>
            <w:tcW w:w="1704" w:type="dxa"/>
            <w:vAlign w:val="center"/>
          </w:tcPr>
          <w:p w14:paraId="5ABC28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Specify a privacy information management system</w:t>
            </w:r>
          </w:p>
        </w:tc>
        <w:tc>
          <w:tcPr>
            <w:tcW w:w="1704" w:type="dxa"/>
            <w:vAlign w:val="center"/>
          </w:tcPr>
          <w:p w14:paraId="7F5DB5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c>
          <w:tcPr>
            <w:tcW w:w="1704" w:type="dxa"/>
            <w:vAlign w:val="center"/>
          </w:tcPr>
          <w:p w14:paraId="48FCDBC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2025 edition is a standalone management-system standard aligned with ISO/IEC 27001:2022</w:t>
            </w:r>
          </w:p>
        </w:tc>
        <w:tc>
          <w:tcPr>
            <w:tcW w:w="1704" w:type="dxa"/>
            <w:vAlign w:val="center"/>
          </w:tcPr>
          <w:p w14:paraId="278896B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certification is not legal compliance</w:t>
            </w:r>
          </w:p>
        </w:tc>
        <w:tc>
          <w:tcPr>
            <w:tcW w:w="1380" w:type="dxa"/>
            <w:vAlign w:val="center"/>
          </w:tcPr>
          <w:p w14:paraId="3E09FAF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Regulatory expectations</w:t>
            </w:r>
          </w:p>
        </w:tc>
      </w:tr>
      <w:tr w:rsidR="000E2BB3" w14:paraId="703BFF7D" w14:textId="77777777">
        <w:trPr>
          <w:jc w:val="center"/>
        </w:trPr>
        <w:tc>
          <w:tcPr>
            <w:tcW w:w="625" w:type="dxa"/>
            <w:vAlign w:val="center"/>
          </w:tcPr>
          <w:p w14:paraId="1D55CB0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w:t>
            </w:r>
          </w:p>
        </w:tc>
        <w:tc>
          <w:tcPr>
            <w:tcW w:w="1704" w:type="dxa"/>
            <w:vAlign w:val="center"/>
          </w:tcPr>
          <w:p w14:paraId="7F5B505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Information technology - Artificial intelligence - Management system, ISO/IEC </w:t>
            </w:r>
            <w:r>
              <w:rPr>
                <w:rFonts w:ascii="Times New Roman" w:eastAsia="Times New Roman" w:hAnsi="Times New Roman" w:cs="Times New Roman"/>
                <w:sz w:val="24"/>
                <w:szCs w:val="24"/>
              </w:rPr>
              <w:lastRenderedPageBreak/>
              <w:t>42001:2023, 2023.</w:t>
            </w:r>
          </w:p>
        </w:tc>
        <w:tc>
          <w:tcPr>
            <w:tcW w:w="1704" w:type="dxa"/>
            <w:vAlign w:val="center"/>
          </w:tcPr>
          <w:p w14:paraId="6D270B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Specify an AI management system</w:t>
            </w:r>
          </w:p>
        </w:tc>
        <w:tc>
          <w:tcPr>
            <w:tcW w:w="1704" w:type="dxa"/>
            <w:vAlign w:val="center"/>
          </w:tcPr>
          <w:p w14:paraId="0DE3AB5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c>
          <w:tcPr>
            <w:tcW w:w="1704" w:type="dxa"/>
            <w:vAlign w:val="center"/>
          </w:tcPr>
          <w:p w14:paraId="722FF5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to establish, maintain and improve an AI management system in any organization</w:t>
            </w:r>
          </w:p>
        </w:tc>
        <w:tc>
          <w:tcPr>
            <w:tcW w:w="1704" w:type="dxa"/>
            <w:vAlign w:val="center"/>
          </w:tcPr>
          <w:p w14:paraId="34E271A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Paywalled; generic</w:t>
            </w:r>
          </w:p>
        </w:tc>
        <w:tc>
          <w:tcPr>
            <w:tcW w:w="1380" w:type="dxa"/>
            <w:vAlign w:val="center"/>
          </w:tcPr>
          <w:p w14:paraId="6E2DDB1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2914283A" w14:textId="77777777">
        <w:trPr>
          <w:jc w:val="center"/>
        </w:trPr>
        <w:tc>
          <w:tcPr>
            <w:tcW w:w="625" w:type="dxa"/>
            <w:vAlign w:val="center"/>
          </w:tcPr>
          <w:p w14:paraId="48C54656"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c>
          <w:tcPr>
            <w:tcW w:w="1704" w:type="dxa"/>
            <w:vAlign w:val="center"/>
          </w:tcPr>
          <w:p w14:paraId="532828AF"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Privacy enhancing data de-identification framework, ISO/IEC 27559:2022, 2022.</w:t>
            </w:r>
          </w:p>
        </w:tc>
        <w:tc>
          <w:tcPr>
            <w:tcW w:w="1704" w:type="dxa"/>
            <w:vAlign w:val="center"/>
          </w:tcPr>
          <w:p w14:paraId="46AD9A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Frame de-identification and re-identification risk</w:t>
            </w:r>
          </w:p>
        </w:tc>
        <w:tc>
          <w:tcPr>
            <w:tcW w:w="1704" w:type="dxa"/>
            <w:vAlign w:val="center"/>
          </w:tcPr>
          <w:p w14:paraId="0D0AA4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standard</w:t>
            </w:r>
          </w:p>
        </w:tc>
        <w:tc>
          <w:tcPr>
            <w:tcW w:w="1704" w:type="dxa"/>
            <w:vAlign w:val="center"/>
          </w:tcPr>
          <w:p w14:paraId="6C63748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 for identifying and mitigating re-identification risk across the life cycle of de-identified data</w:t>
            </w:r>
          </w:p>
        </w:tc>
        <w:tc>
          <w:tcPr>
            <w:tcW w:w="1704" w:type="dxa"/>
            <w:vAlign w:val="center"/>
          </w:tcPr>
          <w:p w14:paraId="3E7A020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Paywalled; </w:t>
            </w:r>
            <w:proofErr w:type="gramStart"/>
            <w:r>
              <w:rPr>
                <w:rFonts w:ascii="Times New Roman" w:eastAsia="Times New Roman" w:hAnsi="Times New Roman" w:cs="Times New Roman"/>
                <w:sz w:val="24"/>
                <w:szCs w:val="24"/>
              </w:rPr>
              <w:t>abstract-level</w:t>
            </w:r>
            <w:proofErr w:type="gramEnd"/>
          </w:p>
        </w:tc>
        <w:tc>
          <w:tcPr>
            <w:tcW w:w="1380" w:type="dxa"/>
            <w:vAlign w:val="center"/>
          </w:tcPr>
          <w:p w14:paraId="69ACE68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Discovery (quasi-identifiers)</w:t>
            </w:r>
          </w:p>
        </w:tc>
      </w:tr>
      <w:tr w:rsidR="000E2BB3" w14:paraId="61FC7183" w14:textId="77777777">
        <w:trPr>
          <w:jc w:val="center"/>
        </w:trPr>
        <w:tc>
          <w:tcPr>
            <w:tcW w:w="625" w:type="dxa"/>
            <w:vAlign w:val="center"/>
          </w:tcPr>
          <w:p w14:paraId="0557FD7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53</w:t>
            </w:r>
          </w:p>
        </w:tc>
        <w:tc>
          <w:tcPr>
            <w:tcW w:w="1704" w:type="dxa"/>
            <w:vAlign w:val="center"/>
          </w:tcPr>
          <w:p w14:paraId="1BA42B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National Institute of Standards and Technology, "NIST Privacy Framework: A tool for improving privacy through enterprise risk management, version 1.0," NIST CSWP 01162020, Jan. 2020,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10.6028/NIST.CSWP.01162020.</w:t>
            </w:r>
          </w:p>
        </w:tc>
        <w:tc>
          <w:tcPr>
            <w:tcW w:w="1704" w:type="dxa"/>
            <w:vAlign w:val="center"/>
          </w:tcPr>
          <w:p w14:paraId="041E1E1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 privacy risk-management framework</w:t>
            </w:r>
          </w:p>
        </w:tc>
        <w:tc>
          <w:tcPr>
            <w:tcW w:w="1704" w:type="dxa"/>
            <w:vAlign w:val="center"/>
          </w:tcPr>
          <w:p w14:paraId="127508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 (core functions and profiles)</w:t>
            </w:r>
          </w:p>
        </w:tc>
        <w:tc>
          <w:tcPr>
            <w:tcW w:w="1704" w:type="dxa"/>
            <w:vAlign w:val="center"/>
          </w:tcPr>
          <w:p w14:paraId="2EC6E26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Identify-P function calls for an inventory of data processing and data elements</w:t>
            </w:r>
          </w:p>
        </w:tc>
        <w:tc>
          <w:tcPr>
            <w:tcW w:w="1704" w:type="dxa"/>
            <w:vAlign w:val="center"/>
          </w:tcPr>
          <w:p w14:paraId="1EE7D37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U.S. orientation; voluntary</w:t>
            </w:r>
          </w:p>
        </w:tc>
        <w:tc>
          <w:tcPr>
            <w:tcW w:w="1380" w:type="dxa"/>
            <w:vAlign w:val="center"/>
          </w:tcPr>
          <w:p w14:paraId="3EA884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Regulatory expectations</w:t>
            </w:r>
          </w:p>
        </w:tc>
      </w:tr>
      <w:tr w:rsidR="000E2BB3" w14:paraId="6373741F" w14:textId="77777777">
        <w:trPr>
          <w:jc w:val="center"/>
        </w:trPr>
        <w:tc>
          <w:tcPr>
            <w:tcW w:w="625" w:type="dxa"/>
            <w:vAlign w:val="center"/>
          </w:tcPr>
          <w:p w14:paraId="2C9B86C8"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54</w:t>
            </w:r>
          </w:p>
        </w:tc>
        <w:tc>
          <w:tcPr>
            <w:tcW w:w="1704" w:type="dxa"/>
            <w:vAlign w:val="center"/>
          </w:tcPr>
          <w:p w14:paraId="658E787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Tabassi, "Artificial Intelligence Risk Management Framework (AI RMF 1.0)," NIST AI 100-1, Jan. 2023,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10.6028/NIST.AI.100-1.</w:t>
            </w:r>
          </w:p>
        </w:tc>
        <w:tc>
          <w:tcPr>
            <w:tcW w:w="1704" w:type="dxa"/>
            <w:vAlign w:val="center"/>
          </w:tcPr>
          <w:p w14:paraId="25B0C7A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an AI risk-management framework</w:t>
            </w:r>
          </w:p>
        </w:tc>
        <w:tc>
          <w:tcPr>
            <w:tcW w:w="1704" w:type="dxa"/>
            <w:vAlign w:val="center"/>
          </w:tcPr>
          <w:p w14:paraId="09E7F14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 (govern, map, measure, manage)</w:t>
            </w:r>
          </w:p>
        </w:tc>
        <w:tc>
          <w:tcPr>
            <w:tcW w:w="1704" w:type="dxa"/>
            <w:vAlign w:val="center"/>
          </w:tcPr>
          <w:p w14:paraId="2220706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Organizations must govern, map, measure and manage AI risk with human accountability</w:t>
            </w:r>
          </w:p>
        </w:tc>
        <w:tc>
          <w:tcPr>
            <w:tcW w:w="1704" w:type="dxa"/>
            <w:vAlign w:val="center"/>
          </w:tcPr>
          <w:p w14:paraId="51844A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Voluntary; general-purpose</w:t>
            </w:r>
          </w:p>
        </w:tc>
        <w:tc>
          <w:tcPr>
            <w:tcW w:w="1380" w:type="dxa"/>
            <w:vAlign w:val="center"/>
          </w:tcPr>
          <w:p w14:paraId="5B3A3797"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4C826960" w14:textId="77777777">
        <w:trPr>
          <w:jc w:val="center"/>
        </w:trPr>
        <w:tc>
          <w:tcPr>
            <w:tcW w:w="625" w:type="dxa"/>
            <w:vAlign w:val="center"/>
          </w:tcPr>
          <w:p w14:paraId="5F3AA20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55</w:t>
            </w:r>
          </w:p>
        </w:tc>
        <w:tc>
          <w:tcPr>
            <w:tcW w:w="1704" w:type="dxa"/>
            <w:vAlign w:val="center"/>
          </w:tcPr>
          <w:p w14:paraId="6767AFE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McCallister, T. Grance, and K. Scarfone, "Guide to protecting the confidentiality of personally identifiable information (PII)," NIST SP 800-122, 2010,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10.6028/NIST.SP.800-122.</w:t>
            </w:r>
          </w:p>
        </w:tc>
        <w:tc>
          <w:tcPr>
            <w:tcW w:w="1704" w:type="dxa"/>
            <w:vAlign w:val="center"/>
          </w:tcPr>
          <w:p w14:paraId="0FD503D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Guide PII protection</w:t>
            </w:r>
          </w:p>
        </w:tc>
        <w:tc>
          <w:tcPr>
            <w:tcW w:w="1704" w:type="dxa"/>
            <w:vAlign w:val="center"/>
          </w:tcPr>
          <w:p w14:paraId="7A00584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Special publication</w:t>
            </w:r>
          </w:p>
        </w:tc>
        <w:tc>
          <w:tcPr>
            <w:tcW w:w="1704" w:type="dxa"/>
            <w:vAlign w:val="center"/>
          </w:tcPr>
          <w:p w14:paraId="7A4725C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impact of a PII element depends on context; inventory and minimize PII</w:t>
            </w:r>
          </w:p>
        </w:tc>
        <w:tc>
          <w:tcPr>
            <w:tcW w:w="1704" w:type="dxa"/>
            <w:vAlign w:val="center"/>
          </w:tcPr>
          <w:p w14:paraId="1680637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Old; U.S. federal</w:t>
            </w:r>
          </w:p>
        </w:tc>
        <w:tc>
          <w:tcPr>
            <w:tcW w:w="1380" w:type="dxa"/>
            <w:vAlign w:val="center"/>
          </w:tcPr>
          <w:p w14:paraId="5674739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Discovery; T4 Regulation</w:t>
            </w:r>
          </w:p>
        </w:tc>
      </w:tr>
      <w:tr w:rsidR="000E2BB3" w14:paraId="7143C309" w14:textId="77777777">
        <w:trPr>
          <w:jc w:val="center"/>
        </w:trPr>
        <w:tc>
          <w:tcPr>
            <w:tcW w:w="625" w:type="dxa"/>
            <w:vAlign w:val="center"/>
          </w:tcPr>
          <w:p w14:paraId="421170B3"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56</w:t>
            </w:r>
          </w:p>
        </w:tc>
        <w:tc>
          <w:tcPr>
            <w:tcW w:w="1704" w:type="dxa"/>
            <w:vAlign w:val="center"/>
          </w:tcPr>
          <w:p w14:paraId="321D614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 C. Hu et al., "Guide to attribute based access control (ABAC) definition and considerations," NIST SP 800-162, Jan. 2014, </w:t>
            </w:r>
            <w:proofErr w:type="spellStart"/>
            <w:r>
              <w:rPr>
                <w:rFonts w:ascii="Times New Roman" w:eastAsia="Times New Roman" w:hAnsi="Times New Roman" w:cs="Times New Roman"/>
                <w:sz w:val="24"/>
                <w:szCs w:val="24"/>
              </w:rPr>
              <w:t>doi</w:t>
            </w:r>
            <w:proofErr w:type="spellEnd"/>
            <w:r>
              <w:rPr>
                <w:rFonts w:ascii="Times New Roman" w:eastAsia="Times New Roman" w:hAnsi="Times New Roman" w:cs="Times New Roman"/>
                <w:sz w:val="24"/>
                <w:szCs w:val="24"/>
              </w:rPr>
              <w:t>: 10.6028/NIST.SP.800-162.</w:t>
            </w:r>
          </w:p>
        </w:tc>
        <w:tc>
          <w:tcPr>
            <w:tcW w:w="1704" w:type="dxa"/>
            <w:vAlign w:val="center"/>
          </w:tcPr>
          <w:p w14:paraId="2C2A1AB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Define attribute-based access control</w:t>
            </w:r>
          </w:p>
        </w:tc>
        <w:tc>
          <w:tcPr>
            <w:tcW w:w="1704" w:type="dxa"/>
            <w:vAlign w:val="center"/>
          </w:tcPr>
          <w:p w14:paraId="664EC4B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Special publication</w:t>
            </w:r>
          </w:p>
        </w:tc>
        <w:tc>
          <w:tcPr>
            <w:tcW w:w="1704" w:type="dxa"/>
            <w:vAlign w:val="center"/>
          </w:tcPr>
          <w:p w14:paraId="76DDF7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Access decisions can be made from attributes of subjects, objects and environment, such as classification tags</w:t>
            </w:r>
          </w:p>
        </w:tc>
        <w:tc>
          <w:tcPr>
            <w:tcW w:w="1704" w:type="dxa"/>
            <w:vAlign w:val="center"/>
          </w:tcPr>
          <w:p w14:paraId="3C7C14B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w:t>
            </w:r>
          </w:p>
        </w:tc>
        <w:tc>
          <w:tcPr>
            <w:tcW w:w="1380" w:type="dxa"/>
            <w:vAlign w:val="center"/>
          </w:tcPr>
          <w:p w14:paraId="7F3362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T6 Enforcement gap</w:t>
            </w:r>
          </w:p>
        </w:tc>
      </w:tr>
      <w:tr w:rsidR="000E2BB3" w14:paraId="6D34861F" w14:textId="77777777">
        <w:trPr>
          <w:jc w:val="center"/>
        </w:trPr>
        <w:tc>
          <w:tcPr>
            <w:tcW w:w="625" w:type="dxa"/>
            <w:vAlign w:val="center"/>
          </w:tcPr>
          <w:p w14:paraId="4F9E2814"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57</w:t>
            </w:r>
          </w:p>
        </w:tc>
        <w:tc>
          <w:tcPr>
            <w:tcW w:w="1704" w:type="dxa"/>
            <w:vAlign w:val="center"/>
          </w:tcPr>
          <w:p w14:paraId="0174723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Basel Committee on Banking Supervision, Principles for effective risk data aggregation and risk reporting (BCBS 239), Bank for International Settlements, Jan. 2013.</w:t>
            </w:r>
          </w:p>
        </w:tc>
        <w:tc>
          <w:tcPr>
            <w:tcW w:w="1704" w:type="dxa"/>
            <w:vAlign w:val="center"/>
          </w:tcPr>
          <w:p w14:paraId="6B4D7C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Strengthen banks' risk data aggregation</w:t>
            </w:r>
          </w:p>
        </w:tc>
        <w:tc>
          <w:tcPr>
            <w:tcW w:w="1704" w:type="dxa"/>
            <w:vAlign w:val="center"/>
          </w:tcPr>
          <w:p w14:paraId="16C1092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International banking principles</w:t>
            </w:r>
          </w:p>
        </w:tc>
        <w:tc>
          <w:tcPr>
            <w:tcW w:w="1704" w:type="dxa"/>
            <w:vAlign w:val="center"/>
          </w:tcPr>
          <w:p w14:paraId="0688B2D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Banks must aggregate risk data accurately with governance and data architecture that support it</w:t>
            </w:r>
          </w:p>
        </w:tc>
        <w:tc>
          <w:tcPr>
            <w:tcW w:w="1704" w:type="dxa"/>
            <w:vAlign w:val="center"/>
          </w:tcPr>
          <w:p w14:paraId="45410F1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Risk data, not privacy</w:t>
            </w:r>
          </w:p>
        </w:tc>
        <w:tc>
          <w:tcPr>
            <w:tcW w:w="1380" w:type="dxa"/>
            <w:vAlign w:val="center"/>
          </w:tcPr>
          <w:p w14:paraId="6BEC8EF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in banks)</w:t>
            </w:r>
          </w:p>
        </w:tc>
      </w:tr>
      <w:tr w:rsidR="000E2BB3" w14:paraId="10484696" w14:textId="77777777">
        <w:trPr>
          <w:jc w:val="center"/>
        </w:trPr>
        <w:tc>
          <w:tcPr>
            <w:tcW w:w="625" w:type="dxa"/>
            <w:vAlign w:val="center"/>
          </w:tcPr>
          <w:p w14:paraId="130A338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58</w:t>
            </w:r>
          </w:p>
        </w:tc>
        <w:tc>
          <w:tcPr>
            <w:tcW w:w="1704" w:type="dxa"/>
            <w:vAlign w:val="center"/>
          </w:tcPr>
          <w:p w14:paraId="0968451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Basel Committee on Banking Supervision, Progress in adopting the </w:t>
            </w:r>
            <w:proofErr w:type="gramStart"/>
            <w:r>
              <w:rPr>
                <w:rFonts w:ascii="Times New Roman" w:eastAsia="Times New Roman" w:hAnsi="Times New Roman" w:cs="Times New Roman"/>
                <w:sz w:val="24"/>
                <w:szCs w:val="24"/>
              </w:rPr>
              <w:t>Principles</w:t>
            </w:r>
            <w:proofErr w:type="gramEnd"/>
            <w:r>
              <w:rPr>
                <w:rFonts w:ascii="Times New Roman" w:eastAsia="Times New Roman" w:hAnsi="Times New Roman" w:cs="Times New Roman"/>
                <w:sz w:val="24"/>
                <w:szCs w:val="24"/>
              </w:rPr>
              <w:t xml:space="preserve"> for effective risk data aggregation and risk reporting, Bank for International Settlements, Nov. 2023.</w:t>
            </w:r>
          </w:p>
        </w:tc>
        <w:tc>
          <w:tcPr>
            <w:tcW w:w="1704" w:type="dxa"/>
            <w:vAlign w:val="center"/>
          </w:tcPr>
          <w:p w14:paraId="002E9AC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Assess BCBS 239 adoption</w:t>
            </w:r>
          </w:p>
        </w:tc>
        <w:tc>
          <w:tcPr>
            <w:tcW w:w="1704" w:type="dxa"/>
            <w:vAlign w:val="center"/>
          </w:tcPr>
          <w:p w14:paraId="16F3C87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Supervisory assessment of 31 G-SIBs</w:t>
            </w:r>
          </w:p>
        </w:tc>
        <w:tc>
          <w:tcPr>
            <w:tcW w:w="1704" w:type="dxa"/>
            <w:vAlign w:val="center"/>
          </w:tcPr>
          <w:p w14:paraId="215D40D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Banks are at different stages; most still have substantial work to do</w:t>
            </w:r>
          </w:p>
        </w:tc>
        <w:tc>
          <w:tcPr>
            <w:tcW w:w="1704" w:type="dxa"/>
            <w:vAlign w:val="center"/>
          </w:tcPr>
          <w:p w14:paraId="118E2DC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G-SIBs only</w:t>
            </w:r>
          </w:p>
        </w:tc>
        <w:tc>
          <w:tcPr>
            <w:tcW w:w="1380" w:type="dxa"/>
            <w:vAlign w:val="center"/>
          </w:tcPr>
          <w:p w14:paraId="167E8F3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(lineage in banks)</w:t>
            </w:r>
          </w:p>
        </w:tc>
      </w:tr>
      <w:tr w:rsidR="000E2BB3" w14:paraId="2E013BE0" w14:textId="77777777">
        <w:trPr>
          <w:jc w:val="center"/>
        </w:trPr>
        <w:tc>
          <w:tcPr>
            <w:tcW w:w="625" w:type="dxa"/>
            <w:vAlign w:val="center"/>
          </w:tcPr>
          <w:p w14:paraId="3FC89EA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59</w:t>
            </w:r>
          </w:p>
        </w:tc>
        <w:tc>
          <w:tcPr>
            <w:tcW w:w="1704" w:type="dxa"/>
            <w:vAlign w:val="center"/>
          </w:tcPr>
          <w:p w14:paraId="0E7BC61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 Cavoukian, Privacy by Design: The 7 foundational principles, Information and Privacy Commissioner of Ontario, rev. Jan. 2011.</w:t>
            </w:r>
          </w:p>
        </w:tc>
        <w:tc>
          <w:tcPr>
            <w:tcW w:w="1704" w:type="dxa"/>
            <w:vAlign w:val="center"/>
          </w:tcPr>
          <w:p w14:paraId="3D6BFEA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Embed privacy into systems design</w:t>
            </w:r>
          </w:p>
        </w:tc>
        <w:tc>
          <w:tcPr>
            <w:tcW w:w="1704" w:type="dxa"/>
            <w:vAlign w:val="center"/>
          </w:tcPr>
          <w:p w14:paraId="73154EB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Principles framework</w:t>
            </w:r>
          </w:p>
        </w:tc>
        <w:tc>
          <w:tcPr>
            <w:tcW w:w="1704" w:type="dxa"/>
            <w:vAlign w:val="center"/>
          </w:tcPr>
          <w:p w14:paraId="137AB57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Seven principles, including privacy as the default setting and end-to-end life-cycle protection</w:t>
            </w:r>
          </w:p>
        </w:tc>
        <w:tc>
          <w:tcPr>
            <w:tcW w:w="1704" w:type="dxa"/>
            <w:vAlign w:val="center"/>
          </w:tcPr>
          <w:p w14:paraId="658FE24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High-level</w:t>
            </w:r>
          </w:p>
        </w:tc>
        <w:tc>
          <w:tcPr>
            <w:tcW w:w="1380" w:type="dxa"/>
            <w:vAlign w:val="center"/>
          </w:tcPr>
          <w:p w14:paraId="5BE9A8E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T4 Regulatory expectations</w:t>
            </w:r>
          </w:p>
        </w:tc>
      </w:tr>
      <w:tr w:rsidR="000E2BB3" w14:paraId="4918EF64" w14:textId="77777777">
        <w:trPr>
          <w:jc w:val="center"/>
        </w:trPr>
        <w:tc>
          <w:tcPr>
            <w:tcW w:w="625" w:type="dxa"/>
            <w:vAlign w:val="center"/>
          </w:tcPr>
          <w:p w14:paraId="0062BC52"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60</w:t>
            </w:r>
          </w:p>
        </w:tc>
        <w:tc>
          <w:tcPr>
            <w:tcW w:w="1704" w:type="dxa"/>
            <w:vAlign w:val="center"/>
          </w:tcPr>
          <w:p w14:paraId="66DF554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Sentinella, E. </w:t>
            </w:r>
            <w:proofErr w:type="spellStart"/>
            <w:r>
              <w:rPr>
                <w:rFonts w:ascii="Times New Roman" w:eastAsia="Times New Roman" w:hAnsi="Times New Roman" w:cs="Times New Roman"/>
                <w:sz w:val="24"/>
                <w:szCs w:val="24"/>
              </w:rPr>
              <w:t>Fuelle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Casovan</w:t>
            </w:r>
            <w:proofErr w:type="spellEnd"/>
            <w:r>
              <w:rPr>
                <w:rFonts w:ascii="Times New Roman" w:eastAsia="Times New Roman" w:hAnsi="Times New Roman" w:cs="Times New Roman"/>
                <w:sz w:val="24"/>
                <w:szCs w:val="24"/>
              </w:rPr>
              <w:t>, and J. Jones, AI governance profession report 2025, IAPP and Credo AI, Apr. 2025.</w:t>
            </w:r>
          </w:p>
        </w:tc>
        <w:tc>
          <w:tcPr>
            <w:tcW w:w="1704" w:type="dxa"/>
            <w:vAlign w:val="center"/>
          </w:tcPr>
          <w:p w14:paraId="20D672B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Describe how organizations staff AI governance</w:t>
            </w:r>
          </w:p>
        </w:tc>
        <w:tc>
          <w:tcPr>
            <w:tcW w:w="1704" w:type="dxa"/>
            <w:vAlign w:val="center"/>
          </w:tcPr>
          <w:p w14:paraId="5DFA84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Professional survey</w:t>
            </w:r>
          </w:p>
        </w:tc>
        <w:tc>
          <w:tcPr>
            <w:tcW w:w="1704" w:type="dxa"/>
            <w:vAlign w:val="center"/>
          </w:tcPr>
          <w:p w14:paraId="6EACD18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Privacy (22%) and legal and compliance (22%) most often hold primary AI-governance responsibility; 77% of organizations work on AI governance</w:t>
            </w:r>
          </w:p>
        </w:tc>
        <w:tc>
          <w:tcPr>
            <w:tcW w:w="1704" w:type="dxa"/>
            <w:vAlign w:val="center"/>
          </w:tcPr>
          <w:p w14:paraId="76EF814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Self-report; vendor co-publisher</w:t>
            </w:r>
          </w:p>
        </w:tc>
        <w:tc>
          <w:tcPr>
            <w:tcW w:w="1380" w:type="dxa"/>
            <w:vAlign w:val="center"/>
          </w:tcPr>
          <w:p w14:paraId="5D3EB0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T5 Human oversight of AI</w:t>
            </w:r>
          </w:p>
        </w:tc>
      </w:tr>
      <w:tr w:rsidR="000E2BB3" w14:paraId="4024A786" w14:textId="77777777">
        <w:trPr>
          <w:jc w:val="center"/>
        </w:trPr>
        <w:tc>
          <w:tcPr>
            <w:tcW w:w="625" w:type="dxa"/>
            <w:vAlign w:val="center"/>
          </w:tcPr>
          <w:p w14:paraId="5CA4B77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61</w:t>
            </w:r>
          </w:p>
        </w:tc>
        <w:tc>
          <w:tcPr>
            <w:tcW w:w="1704" w:type="dxa"/>
            <w:vAlign w:val="center"/>
          </w:tcPr>
          <w:p w14:paraId="361FAF9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 De Simoni, A. Raj, M. Chien, and S. </w:t>
            </w:r>
            <w:r>
              <w:rPr>
                <w:rFonts w:ascii="Times New Roman" w:eastAsia="Times New Roman" w:hAnsi="Times New Roman" w:cs="Times New Roman"/>
                <w:sz w:val="24"/>
                <w:szCs w:val="24"/>
              </w:rPr>
              <w:lastRenderedPageBreak/>
              <w:t>Kennedy, Magic Quadrant for data and analytics governance platforms, Gartner, Inc., G00807073, Jan. 2025.</w:t>
            </w:r>
          </w:p>
        </w:tc>
        <w:tc>
          <w:tcPr>
            <w:tcW w:w="1704" w:type="dxa"/>
            <w:vAlign w:val="center"/>
          </w:tcPr>
          <w:p w14:paraId="78A01FC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Evaluate governance </w:t>
            </w:r>
            <w:r>
              <w:rPr>
                <w:rFonts w:ascii="Times New Roman" w:eastAsia="Times New Roman" w:hAnsi="Times New Roman" w:cs="Times New Roman"/>
                <w:sz w:val="24"/>
                <w:szCs w:val="24"/>
              </w:rPr>
              <w:lastRenderedPageBreak/>
              <w:t>platform vendors</w:t>
            </w:r>
          </w:p>
        </w:tc>
        <w:tc>
          <w:tcPr>
            <w:tcW w:w="1704" w:type="dxa"/>
            <w:vAlign w:val="center"/>
          </w:tcPr>
          <w:p w14:paraId="31EEF82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Analyst assessment</w:t>
            </w:r>
          </w:p>
        </w:tc>
        <w:tc>
          <w:tcPr>
            <w:tcW w:w="1704" w:type="dxa"/>
            <w:vAlign w:val="center"/>
          </w:tcPr>
          <w:p w14:paraId="37B3675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Governance platforms became a </w:t>
            </w:r>
            <w:r>
              <w:rPr>
                <w:rFonts w:ascii="Times New Roman" w:eastAsia="Times New Roman" w:hAnsi="Times New Roman" w:cs="Times New Roman"/>
                <w:sz w:val="24"/>
                <w:szCs w:val="24"/>
              </w:rPr>
              <w:lastRenderedPageBreak/>
              <w:t>recognized market category in 2025 (first Magic Quadrant)</w:t>
            </w:r>
          </w:p>
        </w:tc>
        <w:tc>
          <w:tcPr>
            <w:tcW w:w="1704" w:type="dxa"/>
            <w:vAlign w:val="center"/>
          </w:tcPr>
          <w:p w14:paraId="7890F0D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Proprietary method</w:t>
            </w:r>
          </w:p>
        </w:tc>
        <w:tc>
          <w:tcPr>
            <w:tcW w:w="1380" w:type="dxa"/>
            <w:vAlign w:val="center"/>
          </w:tcPr>
          <w:p w14:paraId="6B7344D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T3 Metadata </w:t>
            </w:r>
            <w:r>
              <w:rPr>
                <w:rFonts w:ascii="Times New Roman" w:eastAsia="Times New Roman" w:hAnsi="Times New Roman" w:cs="Times New Roman"/>
                <w:sz w:val="24"/>
                <w:szCs w:val="24"/>
              </w:rPr>
              <w:lastRenderedPageBreak/>
              <w:t>and catalogues</w:t>
            </w:r>
          </w:p>
        </w:tc>
      </w:tr>
      <w:tr w:rsidR="000E2BB3" w14:paraId="518088EE" w14:textId="77777777">
        <w:trPr>
          <w:jc w:val="center"/>
        </w:trPr>
        <w:tc>
          <w:tcPr>
            <w:tcW w:w="625" w:type="dxa"/>
            <w:vAlign w:val="center"/>
          </w:tcPr>
          <w:p w14:paraId="593B9B2A"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62</w:t>
            </w:r>
          </w:p>
        </w:tc>
        <w:tc>
          <w:tcPr>
            <w:tcW w:w="1704" w:type="dxa"/>
            <w:vAlign w:val="center"/>
          </w:tcPr>
          <w:p w14:paraId="5EBC9224"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Auto-classification in </w:t>
            </w: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(v2.0.x), 2026. [Online]. Available: https://docs.open-metadata.org/v2.0.x/how-to-guides/data-governance/classification/auto-classification</w:t>
            </w:r>
          </w:p>
        </w:tc>
        <w:tc>
          <w:tcPr>
            <w:tcW w:w="1704" w:type="dxa"/>
            <w:vAlign w:val="center"/>
          </w:tcPr>
          <w:p w14:paraId="033F60E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auto-classification</w:t>
            </w:r>
          </w:p>
        </w:tc>
        <w:tc>
          <w:tcPr>
            <w:tcW w:w="1704" w:type="dxa"/>
            <w:vAlign w:val="center"/>
          </w:tcPr>
          <w:p w14:paraId="317507A9"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Product documentation (verified in the POC)</w:t>
            </w:r>
          </w:p>
        </w:tc>
        <w:tc>
          <w:tcPr>
            <w:tcW w:w="1704" w:type="dxa"/>
            <w:vAlign w:val="center"/>
          </w:tcPr>
          <w:p w14:paraId="71B3A966"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Column-name scanning plus Presidio/</w:t>
            </w:r>
            <w:proofErr w:type="spellStart"/>
            <w:r>
              <w:rPr>
                <w:rFonts w:ascii="Times New Roman" w:eastAsia="Times New Roman" w:hAnsi="Times New Roman" w:cs="Times New Roman"/>
                <w:sz w:val="24"/>
                <w:szCs w:val="24"/>
              </w:rPr>
              <w:t>spaCy</w:t>
            </w:r>
            <w:proofErr w:type="spellEnd"/>
            <w:r>
              <w:rPr>
                <w:rFonts w:ascii="Times New Roman" w:eastAsia="Times New Roman" w:hAnsi="Times New Roman" w:cs="Times New Roman"/>
                <w:sz w:val="24"/>
                <w:szCs w:val="24"/>
              </w:rPr>
              <w:t xml:space="preserve"> content recognition; tags suggested with a confidence threshold</w:t>
            </w:r>
          </w:p>
        </w:tc>
        <w:tc>
          <w:tcPr>
            <w:tcW w:w="1704" w:type="dxa"/>
            <w:vAlign w:val="center"/>
          </w:tcPr>
          <w:p w14:paraId="1476981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c>
          <w:tcPr>
            <w:tcW w:w="1380" w:type="dxa"/>
            <w:vAlign w:val="center"/>
          </w:tcPr>
          <w:p w14:paraId="24B5120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and classification</w:t>
            </w:r>
          </w:p>
        </w:tc>
      </w:tr>
      <w:tr w:rsidR="000E2BB3" w14:paraId="5E664C90" w14:textId="77777777">
        <w:trPr>
          <w:jc w:val="center"/>
        </w:trPr>
        <w:tc>
          <w:tcPr>
            <w:tcW w:w="625" w:type="dxa"/>
            <w:vAlign w:val="center"/>
          </w:tcPr>
          <w:p w14:paraId="4B11E0C3"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63</w:t>
            </w:r>
          </w:p>
        </w:tc>
        <w:tc>
          <w:tcPr>
            <w:tcW w:w="1704" w:type="dxa"/>
            <w:vAlign w:val="center"/>
          </w:tcPr>
          <w:p w14:paraId="07E86B90"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Advanced guide for roles and policies (v2.0.x), 2026. [Online]. Available: https://docs.open-metadata.org/v2.0.x/how-to-guides/admin-guide/roles-policies</w:t>
            </w:r>
          </w:p>
        </w:tc>
        <w:tc>
          <w:tcPr>
            <w:tcW w:w="1704" w:type="dxa"/>
            <w:vAlign w:val="center"/>
          </w:tcPr>
          <w:p w14:paraId="7A733B2A"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access policies</w:t>
            </w:r>
          </w:p>
        </w:tc>
        <w:tc>
          <w:tcPr>
            <w:tcW w:w="1704" w:type="dxa"/>
            <w:vAlign w:val="center"/>
          </w:tcPr>
          <w:p w14:paraId="31B1C1E1"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Product documentation (verified in the POC)</w:t>
            </w:r>
          </w:p>
        </w:tc>
        <w:tc>
          <w:tcPr>
            <w:tcW w:w="1704" w:type="dxa"/>
            <w:vAlign w:val="center"/>
          </w:tcPr>
          <w:p w14:paraId="0B67A5B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Rules with conditions such as </w:t>
            </w:r>
            <w:proofErr w:type="spellStart"/>
            <w:proofErr w:type="gramStart"/>
            <w:r>
              <w:rPr>
                <w:rFonts w:ascii="Times New Roman" w:eastAsia="Times New Roman" w:hAnsi="Times New Roman" w:cs="Times New Roman"/>
                <w:sz w:val="24"/>
                <w:szCs w:val="24"/>
              </w:rPr>
              <w:t>matchAnyTag</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allow or deny operations; in the POC the sample-data endpoint checked table-level tags only</w:t>
            </w:r>
          </w:p>
        </w:tc>
        <w:tc>
          <w:tcPr>
            <w:tcW w:w="1704" w:type="dxa"/>
            <w:vAlign w:val="center"/>
          </w:tcPr>
          <w:p w14:paraId="224E04B3"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c>
          <w:tcPr>
            <w:tcW w:w="1380" w:type="dxa"/>
            <w:vAlign w:val="center"/>
          </w:tcPr>
          <w:p w14:paraId="261713F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T6 Enforcement gap</w:t>
            </w:r>
          </w:p>
        </w:tc>
      </w:tr>
      <w:tr w:rsidR="000E2BB3" w14:paraId="7336F6DF" w14:textId="77777777">
        <w:trPr>
          <w:jc w:val="center"/>
        </w:trPr>
        <w:tc>
          <w:tcPr>
            <w:tcW w:w="625" w:type="dxa"/>
            <w:vAlign w:val="center"/>
          </w:tcPr>
          <w:p w14:paraId="15941BF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64</w:t>
            </w:r>
          </w:p>
        </w:tc>
        <w:tc>
          <w:tcPr>
            <w:tcW w:w="1704" w:type="dxa"/>
            <w:vAlign w:val="center"/>
          </w:tcPr>
          <w:p w14:paraId="6E026D0F"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Data contract specification (v2.0.x), 2026. [Online]. Available: https://docs.open-metadata.org/v2.0.x/how-to-guides/data-contracts/spec</w:t>
            </w:r>
          </w:p>
        </w:tc>
        <w:tc>
          <w:tcPr>
            <w:tcW w:w="1704" w:type="dxa"/>
            <w:vAlign w:val="center"/>
          </w:tcPr>
          <w:p w14:paraId="6E1EC27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data contracts</w:t>
            </w:r>
          </w:p>
        </w:tc>
        <w:tc>
          <w:tcPr>
            <w:tcW w:w="1704" w:type="dxa"/>
            <w:vAlign w:val="center"/>
          </w:tcPr>
          <w:p w14:paraId="2D1776B2"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Product documentation</w:t>
            </w:r>
          </w:p>
        </w:tc>
        <w:tc>
          <w:tcPr>
            <w:tcW w:w="1704" w:type="dxa"/>
            <w:vAlign w:val="center"/>
          </w:tcPr>
          <w:p w14:paraId="7831634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Contracts combine schema, semantics rules and quality tests; the security section is documentation and is not enforced</w:t>
            </w:r>
          </w:p>
        </w:tc>
        <w:tc>
          <w:tcPr>
            <w:tcW w:w="1704" w:type="dxa"/>
            <w:vAlign w:val="center"/>
          </w:tcPr>
          <w:p w14:paraId="19BB7C9B"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c>
          <w:tcPr>
            <w:tcW w:w="1380" w:type="dxa"/>
            <w:vAlign w:val="center"/>
          </w:tcPr>
          <w:p w14:paraId="48A814E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T3 Metadata; T6 Enforcement</w:t>
            </w:r>
          </w:p>
        </w:tc>
      </w:tr>
      <w:tr w:rsidR="000E2BB3" w14:paraId="67B98812" w14:textId="77777777">
        <w:trPr>
          <w:jc w:val="center"/>
        </w:trPr>
        <w:tc>
          <w:tcPr>
            <w:tcW w:w="625" w:type="dxa"/>
            <w:vAlign w:val="center"/>
          </w:tcPr>
          <w:p w14:paraId="1EA9CD1D"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65</w:t>
            </w:r>
          </w:p>
        </w:tc>
        <w:tc>
          <w:tcPr>
            <w:tcW w:w="1704" w:type="dxa"/>
            <w:vAlign w:val="center"/>
          </w:tcPr>
          <w:p w14:paraId="732E8E00"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MCP server (v2.0.x), 2026. [Online]. Available: https://docs.open-metadata.org/v2.0.x/how-to-guides/mcp</w:t>
            </w:r>
          </w:p>
        </w:tc>
        <w:tc>
          <w:tcPr>
            <w:tcW w:w="1704" w:type="dxa"/>
            <w:vAlign w:val="center"/>
          </w:tcPr>
          <w:p w14:paraId="5C0A86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the MCP server</w:t>
            </w:r>
          </w:p>
        </w:tc>
        <w:tc>
          <w:tcPr>
            <w:tcW w:w="1704" w:type="dxa"/>
            <w:vAlign w:val="center"/>
          </w:tcPr>
          <w:p w14:paraId="1ACCD61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Product documentation (verified in the POC)</w:t>
            </w:r>
          </w:p>
        </w:tc>
        <w:tc>
          <w:tcPr>
            <w:tcW w:w="1704" w:type="dxa"/>
            <w:vAlign w:val="center"/>
          </w:tcPr>
          <w:p w14:paraId="3F3EC4F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AI assistants query the catalogue; the POC found 15 tools including write tools</w:t>
            </w:r>
          </w:p>
        </w:tc>
        <w:tc>
          <w:tcPr>
            <w:tcW w:w="1704" w:type="dxa"/>
            <w:vAlign w:val="center"/>
          </w:tcPr>
          <w:p w14:paraId="66180F6D"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c>
          <w:tcPr>
            <w:tcW w:w="1380" w:type="dxa"/>
            <w:vAlign w:val="center"/>
          </w:tcPr>
          <w:p w14:paraId="4414A98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T6 Enforcement gap (AI agents)</w:t>
            </w:r>
          </w:p>
        </w:tc>
      </w:tr>
      <w:tr w:rsidR="000E2BB3" w14:paraId="3D5156BB" w14:textId="77777777">
        <w:trPr>
          <w:jc w:val="center"/>
        </w:trPr>
        <w:tc>
          <w:tcPr>
            <w:tcW w:w="625" w:type="dxa"/>
            <w:vAlign w:val="center"/>
          </w:tcPr>
          <w:p w14:paraId="53A6126C"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w:t>
            </w:r>
          </w:p>
        </w:tc>
        <w:tc>
          <w:tcPr>
            <w:tcW w:w="1704" w:type="dxa"/>
            <w:vAlign w:val="center"/>
          </w:tcPr>
          <w:p w14:paraId="251DAB0D" w14:textId="77777777" w:rsidR="000E2BB3" w:rsidRDefault="00000000">
            <w:pPr>
              <w:spacing w:before="80" w:after="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contributors, </w:t>
            </w:r>
            <w:proofErr w:type="spellStart"/>
            <w:r>
              <w:rPr>
                <w:rFonts w:ascii="Times New Roman" w:eastAsia="Times New Roman" w:hAnsi="Times New Roman" w:cs="Times New Roman"/>
                <w:sz w:val="24"/>
                <w:szCs w:val="24"/>
              </w:rPr>
              <w:t>OpenMetadata</w:t>
            </w:r>
            <w:proofErr w:type="spellEnd"/>
            <w:r>
              <w:rPr>
                <w:rFonts w:ascii="Times New Roman" w:eastAsia="Times New Roman" w:hAnsi="Times New Roman" w:cs="Times New Roman"/>
                <w:sz w:val="24"/>
                <w:szCs w:val="24"/>
              </w:rPr>
              <w:t xml:space="preserve"> 2.0.5 release, ingestion/</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/metadata/workflow/classification.py, GitHub, Oct. 2026. [Online]. Available: https://github.com/open-metadata/OpenMetadata/blob/2.0.5-release/ingestion/src/metadat</w:t>
            </w:r>
            <w:r>
              <w:rPr>
                <w:rFonts w:ascii="Times New Roman" w:eastAsia="Times New Roman" w:hAnsi="Times New Roman" w:cs="Times New Roman"/>
                <w:sz w:val="24"/>
                <w:szCs w:val="24"/>
              </w:rPr>
              <w:lastRenderedPageBreak/>
              <w:t>a/workflow/classification.py</w:t>
            </w:r>
          </w:p>
        </w:tc>
        <w:tc>
          <w:tcPr>
            <w:tcW w:w="1704" w:type="dxa"/>
            <w:vAlign w:val="center"/>
          </w:tcPr>
          <w:p w14:paraId="7E37E830"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Primary evidence of classifier </w:t>
            </w:r>
            <w:proofErr w:type="spellStart"/>
            <w:r>
              <w:rPr>
                <w:rFonts w:ascii="Times New Roman" w:eastAsia="Times New Roman" w:hAnsi="Times New Roman" w:cs="Times New Roman"/>
                <w:sz w:val="24"/>
                <w:szCs w:val="24"/>
              </w:rPr>
              <w:t>behaviour</w:t>
            </w:r>
            <w:proofErr w:type="spellEnd"/>
          </w:p>
        </w:tc>
        <w:tc>
          <w:tcPr>
            <w:tcW w:w="1704" w:type="dxa"/>
            <w:vAlign w:val="center"/>
          </w:tcPr>
          <w:p w14:paraId="41D36AC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Source-code inspection</w:t>
            </w:r>
          </w:p>
        </w:tc>
        <w:tc>
          <w:tcPr>
            <w:tcW w:w="1704" w:type="dxa"/>
            <w:vAlign w:val="center"/>
          </w:tcPr>
          <w:p w14:paraId="66B533E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The open-source classify workflow hard-codes the PII classification, so recognizers on other classifications are ignored</w:t>
            </w:r>
          </w:p>
        </w:tc>
        <w:tc>
          <w:tcPr>
            <w:tcW w:w="1704" w:type="dxa"/>
            <w:vAlign w:val="center"/>
          </w:tcPr>
          <w:p w14:paraId="50961C28"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May change in later releases</w:t>
            </w:r>
          </w:p>
        </w:tc>
        <w:tc>
          <w:tcPr>
            <w:tcW w:w="1380" w:type="dxa"/>
            <w:vAlign w:val="center"/>
          </w:tcPr>
          <w:p w14:paraId="29C31D8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and classification</w:t>
            </w:r>
          </w:p>
        </w:tc>
      </w:tr>
      <w:tr w:rsidR="000E2BB3" w14:paraId="0BC13ECE" w14:textId="77777777">
        <w:trPr>
          <w:jc w:val="center"/>
        </w:trPr>
        <w:tc>
          <w:tcPr>
            <w:tcW w:w="625" w:type="dxa"/>
            <w:vAlign w:val="center"/>
          </w:tcPr>
          <w:p w14:paraId="747919B9" w14:textId="77777777" w:rsidR="000E2BB3" w:rsidRDefault="00000000">
            <w:pPr>
              <w:spacing w:before="80" w:after="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67</w:t>
            </w:r>
          </w:p>
        </w:tc>
        <w:tc>
          <w:tcPr>
            <w:tcW w:w="1704" w:type="dxa"/>
            <w:vAlign w:val="center"/>
          </w:tcPr>
          <w:p w14:paraId="64DCCD95"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Presidio: Data protection and de-identification SDK, 2026. [Online]. Available: https://microsoft.github.io/presidio/</w:t>
            </w:r>
          </w:p>
        </w:tc>
        <w:tc>
          <w:tcPr>
            <w:tcW w:w="1704" w:type="dxa"/>
            <w:vAlign w:val="center"/>
          </w:tcPr>
          <w:p w14:paraId="05C7C5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the PII recognizer engine</w:t>
            </w:r>
          </w:p>
        </w:tc>
        <w:tc>
          <w:tcPr>
            <w:tcW w:w="1704" w:type="dxa"/>
            <w:vAlign w:val="center"/>
          </w:tcPr>
          <w:p w14:paraId="5BE69584"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Product documentation</w:t>
            </w:r>
          </w:p>
        </w:tc>
        <w:tc>
          <w:tcPr>
            <w:tcW w:w="1704" w:type="dxa"/>
            <w:vAlign w:val="center"/>
          </w:tcPr>
          <w:p w14:paraId="3802D96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Pattern, context and NER recognizers power </w:t>
            </w:r>
            <w:proofErr w:type="spellStart"/>
            <w:r>
              <w:rPr>
                <w:rFonts w:ascii="Times New Roman" w:eastAsia="Times New Roman" w:hAnsi="Times New Roman" w:cs="Times New Roman"/>
                <w:sz w:val="24"/>
                <w:szCs w:val="24"/>
              </w:rPr>
              <w:t>OpenMetadata's</w:t>
            </w:r>
            <w:proofErr w:type="spellEnd"/>
            <w:r>
              <w:rPr>
                <w:rFonts w:ascii="Times New Roman" w:eastAsia="Times New Roman" w:hAnsi="Times New Roman" w:cs="Times New Roman"/>
                <w:sz w:val="24"/>
                <w:szCs w:val="24"/>
              </w:rPr>
              <w:t xml:space="preserve"> classifier; the predefined set has no Canadian SIN recognizer</w:t>
            </w:r>
          </w:p>
        </w:tc>
        <w:tc>
          <w:tcPr>
            <w:tcW w:w="1704" w:type="dxa"/>
            <w:vAlign w:val="center"/>
          </w:tcPr>
          <w:p w14:paraId="605BD05C"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Vendor-maintained</w:t>
            </w:r>
          </w:p>
        </w:tc>
        <w:tc>
          <w:tcPr>
            <w:tcW w:w="1380" w:type="dxa"/>
            <w:vAlign w:val="center"/>
          </w:tcPr>
          <w:p w14:paraId="3D55483E" w14:textId="77777777" w:rsidR="000E2BB3" w:rsidRDefault="00000000">
            <w:pPr>
              <w:spacing w:before="8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T2 Automated discovery and classification</w:t>
            </w:r>
          </w:p>
        </w:tc>
      </w:tr>
    </w:tbl>
    <w:p w14:paraId="0F9314DE" w14:textId="77777777" w:rsidR="000E2BB3" w:rsidRDefault="000E2BB3">
      <w:pPr>
        <w:rPr>
          <w:rFonts w:ascii="Times New Roman" w:eastAsia="Times New Roman" w:hAnsi="Times New Roman" w:cs="Times New Roman"/>
        </w:rPr>
      </w:pPr>
    </w:p>
    <w:p w14:paraId="18944CB0" w14:textId="77777777" w:rsidR="000E2BB3" w:rsidRDefault="00000000">
      <w:pPr>
        <w:pStyle w:val="Heading1"/>
        <w:numPr>
          <w:ilvl w:val="0"/>
          <w:numId w:val="1"/>
        </w:numPr>
        <w:rPr>
          <w:rFonts w:ascii="Times New Roman" w:eastAsia="Times New Roman" w:hAnsi="Times New Roman" w:cs="Times New Roman"/>
        </w:rPr>
      </w:pPr>
      <w:r>
        <w:rPr>
          <w:rFonts w:ascii="Times New Roman" w:eastAsia="Times New Roman" w:hAnsi="Times New Roman" w:cs="Times New Roman"/>
        </w:rPr>
        <w:t>Reference</w:t>
      </w:r>
    </w:p>
    <w:p w14:paraId="0C4EACB8" w14:textId="77777777" w:rsidR="000E2BB3" w:rsidRDefault="00000000">
      <w:pPr>
        <w:rPr>
          <w:rFonts w:ascii="Times New Roman" w:eastAsia="Times New Roman" w:hAnsi="Times New Roman" w:cs="Times New Roman"/>
          <w:color w:val="000000"/>
          <w:highlight w:val="white"/>
        </w:rPr>
      </w:pPr>
      <w:r>
        <w:rPr>
          <w:rFonts w:ascii="Times New Roman" w:eastAsia="Times New Roman" w:hAnsi="Times New Roman" w:cs="Times New Roman"/>
        </w:rPr>
        <w:t xml:space="preserve">[1] </w:t>
      </w:r>
      <w:proofErr w:type="spellStart"/>
      <w:r>
        <w:rPr>
          <w:rFonts w:ascii="Times New Roman" w:eastAsia="Times New Roman" w:hAnsi="Times New Roman" w:cs="Times New Roman"/>
          <w:color w:val="000000"/>
          <w:highlight w:val="white"/>
        </w:rPr>
        <w:t>Backbase</w:t>
      </w:r>
      <w:proofErr w:type="spellEnd"/>
      <w:r>
        <w:rPr>
          <w:rFonts w:ascii="Times New Roman" w:eastAsia="Times New Roman" w:hAnsi="Times New Roman" w:cs="Times New Roman"/>
          <w:color w:val="000000"/>
          <w:highlight w:val="white"/>
        </w:rPr>
        <w:t xml:space="preserve">. (2026). AI governance in banking: the complete guide for 2026. </w:t>
      </w:r>
      <w:hyperlink r:id="rId89">
        <w:r>
          <w:rPr>
            <w:rFonts w:ascii="Times New Roman" w:eastAsia="Times New Roman" w:hAnsi="Times New Roman" w:cs="Times New Roman"/>
            <w:color w:val="0563C1"/>
            <w:highlight w:val="white"/>
            <w:u w:val="single"/>
          </w:rPr>
          <w:t>https://www.backbase.com/blog/ai-governance-in-banking</w:t>
        </w:r>
      </w:hyperlink>
      <w:r>
        <w:rPr>
          <w:rFonts w:ascii="Times New Roman" w:eastAsia="Times New Roman" w:hAnsi="Times New Roman" w:cs="Times New Roman"/>
          <w:color w:val="000000"/>
          <w:highlight w:val="white"/>
        </w:rPr>
        <w:t> </w:t>
      </w:r>
    </w:p>
    <w:p w14:paraId="4144CBD6" w14:textId="77777777" w:rsidR="000E2BB3" w:rsidRDefault="00000000">
      <w:pPr>
        <w:rPr>
          <w:rFonts w:ascii="Times New Roman" w:eastAsia="Times New Roman" w:hAnsi="Times New Roman" w:cs="Times New Roman"/>
          <w:color w:val="000000"/>
          <w:highlight w:val="white"/>
        </w:rPr>
      </w:pPr>
      <w:r>
        <w:rPr>
          <w:rFonts w:ascii="Times New Roman" w:eastAsia="Times New Roman" w:hAnsi="Times New Roman" w:cs="Times New Roman"/>
          <w:color w:val="000000"/>
          <w:highlight w:val="white"/>
        </w:rPr>
        <w:t>[2]</w:t>
      </w:r>
    </w:p>
    <w:p w14:paraId="074CA50A" w14:textId="77777777" w:rsidR="000E2BB3" w:rsidRDefault="00000000">
      <w:pPr>
        <w:rPr>
          <w:rFonts w:ascii="Times New Roman" w:eastAsia="Times New Roman" w:hAnsi="Times New Roman" w:cs="Times New Roman"/>
        </w:rPr>
      </w:pPr>
      <w:r>
        <w:rPr>
          <w:rFonts w:ascii="Times New Roman" w:eastAsia="Times New Roman" w:hAnsi="Times New Roman" w:cs="Times New Roman"/>
          <w:color w:val="000000"/>
          <w:highlight w:val="white"/>
        </w:rPr>
        <w:t xml:space="preserve">[3] </w:t>
      </w:r>
      <w:r>
        <w:rPr>
          <w:rFonts w:ascii="Times New Roman" w:eastAsia="Times New Roman" w:hAnsi="Times New Roman" w:cs="Times New Roman"/>
        </w:rPr>
        <w:t xml:space="preserve">Douglas </w:t>
      </w:r>
      <w:proofErr w:type="spellStart"/>
      <w:r>
        <w:rPr>
          <w:rFonts w:ascii="Times New Roman" w:eastAsia="Times New Roman" w:hAnsi="Times New Roman" w:cs="Times New Roman"/>
        </w:rPr>
        <w:t>Kiarelly</w:t>
      </w:r>
      <w:proofErr w:type="spellEnd"/>
      <w:r>
        <w:rPr>
          <w:rFonts w:ascii="Times New Roman" w:eastAsia="Times New Roman" w:hAnsi="Times New Roman" w:cs="Times New Roman"/>
        </w:rPr>
        <w:t xml:space="preserve"> Godoy De Araujo, Rafael Schmidt, Olivier Sirello, Bruno Tissot and Ricardo Villarreal. Artificial intelligence in central banks: Governance and implementation. Journal of AI, Robotics &amp; Workplace Automation, 4 (1), 8-24 (2025). DOI at:</w:t>
      </w:r>
      <w:hyperlink r:id="rId90">
        <w:r>
          <w:rPr>
            <w:rFonts w:ascii="Times New Roman" w:eastAsia="Times New Roman" w:hAnsi="Times New Roman" w:cs="Times New Roman"/>
          </w:rPr>
          <w:t xml:space="preserve"> </w:t>
        </w:r>
      </w:hyperlink>
      <w:hyperlink r:id="rId91">
        <w:r>
          <w:rPr>
            <w:rFonts w:ascii="Times New Roman" w:eastAsia="Times New Roman" w:hAnsi="Times New Roman" w:cs="Times New Roman"/>
            <w:color w:val="1155CC"/>
            <w:u w:val="single"/>
          </w:rPr>
          <w:t>https://doi.org/10.69554/QPRT1565</w:t>
        </w:r>
      </w:hyperlink>
      <w:r>
        <w:rPr>
          <w:rFonts w:ascii="Times New Roman" w:eastAsia="Times New Roman" w:hAnsi="Times New Roman" w:cs="Times New Roman"/>
        </w:rPr>
        <w:t xml:space="preserve"> </w:t>
      </w:r>
    </w:p>
    <w:p w14:paraId="2264315F" w14:textId="77777777" w:rsidR="000E2BB3" w:rsidRDefault="000E2BB3">
      <w:pPr>
        <w:rPr>
          <w:rFonts w:ascii="Times New Roman" w:eastAsia="Times New Roman" w:hAnsi="Times New Roman" w:cs="Times New Roman"/>
        </w:rPr>
      </w:pPr>
    </w:p>
    <w:p w14:paraId="78C6E0F3" w14:textId="77777777" w:rsidR="000E2BB3" w:rsidRDefault="000E2BB3">
      <w:pPr>
        <w:rPr>
          <w:rFonts w:ascii="Times New Roman" w:eastAsia="Times New Roman" w:hAnsi="Times New Roman" w:cs="Times New Roman"/>
        </w:rPr>
      </w:pPr>
    </w:p>
    <w:p w14:paraId="00B0C983" w14:textId="77777777" w:rsidR="000E2BB3" w:rsidRDefault="000E2BB3">
      <w:pPr>
        <w:rPr>
          <w:rFonts w:ascii="Times New Roman" w:eastAsia="Times New Roman" w:hAnsi="Times New Roman" w:cs="Times New Roman"/>
        </w:rPr>
      </w:pPr>
    </w:p>
    <w:p w14:paraId="192F440A" w14:textId="77777777" w:rsidR="000E2BB3" w:rsidRDefault="00000000">
      <w:pPr>
        <w:rPr>
          <w:rFonts w:ascii="Times New Roman" w:eastAsia="Times New Roman" w:hAnsi="Times New Roman" w:cs="Times New Roman"/>
        </w:rPr>
      </w:pPr>
      <w:r>
        <w:rPr>
          <w:rFonts w:ascii="Times New Roman" w:eastAsia="Times New Roman" w:hAnsi="Times New Roman" w:cs="Times New Roman"/>
        </w:rPr>
        <w:t xml:space="preserve">[4] Office of the Superintendent of Financial Institutions and Financial Consumer Agency of Canada, “OSFI-FCAC Risk Report – AI Uses and Risks at Federally Regulated Financial Institutions,” Sep. 24, 2024. </w:t>
      </w:r>
      <w:hyperlink r:id="rId92">
        <w:r>
          <w:rPr>
            <w:rFonts w:ascii="Times New Roman" w:eastAsia="Times New Roman" w:hAnsi="Times New Roman" w:cs="Times New Roman"/>
            <w:color w:val="1155CC"/>
            <w:u w:val="single"/>
          </w:rPr>
          <w:t>https://www.osfi-bsif.gc.ca/en/about-osfi/reports-publications/osfi-fcac-risk-report-ai-uses-risks-federally-regulated-financial-institutions</w:t>
        </w:r>
      </w:hyperlink>
    </w:p>
    <w:p w14:paraId="4551F5DF" w14:textId="77777777" w:rsidR="000E2BB3" w:rsidRDefault="000E2BB3">
      <w:pPr>
        <w:rPr>
          <w:rFonts w:ascii="Times New Roman" w:eastAsia="Times New Roman" w:hAnsi="Times New Roman" w:cs="Times New Roman"/>
        </w:rPr>
      </w:pPr>
    </w:p>
    <w:p w14:paraId="745240DD" w14:textId="77777777" w:rsidR="000E2BB3" w:rsidRDefault="00000000">
      <w:pPr>
        <w:rPr>
          <w:rFonts w:ascii="Times New Roman" w:eastAsia="Times New Roman" w:hAnsi="Times New Roman" w:cs="Times New Roman"/>
        </w:rPr>
      </w:pPr>
      <w:r>
        <w:rPr>
          <w:rFonts w:ascii="Times New Roman" w:eastAsia="Times New Roman" w:hAnsi="Times New Roman" w:cs="Times New Roman"/>
        </w:rPr>
        <w:t>[5</w:t>
      </w:r>
      <w:proofErr w:type="gramStart"/>
      <w:r>
        <w:rPr>
          <w:rFonts w:ascii="Times New Roman" w:eastAsia="Times New Roman" w:hAnsi="Times New Roman" w:cs="Times New Roman"/>
        </w:rPr>
        <w:t>]  Lee</w:t>
      </w:r>
      <w:proofErr w:type="gramEnd"/>
      <w:r>
        <w:rPr>
          <w:rFonts w:ascii="Times New Roman" w:eastAsia="Times New Roman" w:hAnsi="Times New Roman" w:cs="Times New Roman"/>
        </w:rPr>
        <w:t xml:space="preserve">, Joseph, et al. Data Governance in AI, Fintech and </w:t>
      </w:r>
      <w:proofErr w:type="spellStart"/>
      <w:proofErr w:type="gramStart"/>
      <w:r>
        <w:rPr>
          <w:rFonts w:ascii="Times New Roman" w:eastAsia="Times New Roman" w:hAnsi="Times New Roman" w:cs="Times New Roman"/>
        </w:rPr>
        <w:t>Legaltech</w:t>
      </w:r>
      <w:proofErr w:type="spellEnd"/>
      <w:r>
        <w:rPr>
          <w:rFonts w:ascii="Times New Roman" w:eastAsia="Times New Roman" w:hAnsi="Times New Roman" w:cs="Times New Roman"/>
        </w:rPr>
        <w:t> :</w:t>
      </w:r>
      <w:proofErr w:type="gramEnd"/>
      <w:r>
        <w:rPr>
          <w:rFonts w:ascii="Times New Roman" w:eastAsia="Times New Roman" w:hAnsi="Times New Roman" w:cs="Times New Roman"/>
        </w:rPr>
        <w:t xml:space="preserve"> Law and Regulation in the Financial Sector. Edited by Joseph Lee and Aline Darbellay, Edward Elgar Publishing, 2022, </w:t>
      </w:r>
      <w:hyperlink r:id="rId93">
        <w:r>
          <w:rPr>
            <w:rFonts w:ascii="Times New Roman" w:eastAsia="Times New Roman" w:hAnsi="Times New Roman" w:cs="Times New Roman"/>
            <w:color w:val="1155CC"/>
            <w:u w:val="single"/>
          </w:rPr>
          <w:t>https://www.elgaronline.com/view/book/9781800379954/9781800379954.xml</w:t>
        </w:r>
      </w:hyperlink>
      <w:r>
        <w:rPr>
          <w:rFonts w:ascii="Times New Roman" w:eastAsia="Times New Roman" w:hAnsi="Times New Roman" w:cs="Times New Roman"/>
        </w:rPr>
        <w:t>.</w:t>
      </w:r>
    </w:p>
    <w:p w14:paraId="128F6682" w14:textId="77777777" w:rsidR="000E2BB3" w:rsidRDefault="000E2BB3">
      <w:pPr>
        <w:rPr>
          <w:rFonts w:ascii="Times New Roman" w:eastAsia="Times New Roman" w:hAnsi="Times New Roman" w:cs="Times New Roman"/>
        </w:rPr>
      </w:pPr>
    </w:p>
    <w:p w14:paraId="225C453F" w14:textId="77777777" w:rsidR="000E2BB3" w:rsidRDefault="00000000">
      <w:pPr>
        <w:rPr>
          <w:rFonts w:ascii="Times New Roman" w:eastAsia="Times New Roman" w:hAnsi="Times New Roman" w:cs="Times New Roman"/>
        </w:rPr>
      </w:pPr>
      <w:r>
        <w:rPr>
          <w:rFonts w:ascii="Times New Roman" w:eastAsia="Times New Roman" w:hAnsi="Times New Roman" w:cs="Times New Roman"/>
        </w:rPr>
        <w:t>[6] Irving Fisher Committee on Central Bank Statistics (IFC) (July 2021), ‘Issues in data governance’, IFC Bulletin 54, available at</w:t>
      </w:r>
      <w:hyperlink r:id="rId94">
        <w:r>
          <w:rPr>
            <w:rFonts w:ascii="Times New Roman" w:eastAsia="Times New Roman" w:hAnsi="Times New Roman" w:cs="Times New Roman"/>
          </w:rPr>
          <w:t xml:space="preserve"> </w:t>
        </w:r>
      </w:hyperlink>
      <w:hyperlink r:id="rId95">
        <w:r>
          <w:rPr>
            <w:rFonts w:ascii="Times New Roman" w:eastAsia="Times New Roman" w:hAnsi="Times New Roman" w:cs="Times New Roman"/>
            <w:color w:val="1155CC"/>
            <w:u w:val="single"/>
          </w:rPr>
          <w:t>https://www.bis.org/ifc/publ/ifcb54.pdf</w:t>
        </w:r>
      </w:hyperlink>
      <w:r>
        <w:rPr>
          <w:rFonts w:ascii="Times New Roman" w:eastAsia="Times New Roman" w:hAnsi="Times New Roman" w:cs="Times New Roman"/>
        </w:rPr>
        <w:t xml:space="preserve">  </w:t>
      </w:r>
    </w:p>
    <w:p w14:paraId="48D94852" w14:textId="77777777" w:rsidR="000E2BB3" w:rsidRDefault="000E2BB3">
      <w:pPr>
        <w:rPr>
          <w:rFonts w:ascii="Times New Roman" w:eastAsia="Times New Roman" w:hAnsi="Times New Roman" w:cs="Times New Roman"/>
        </w:rPr>
      </w:pPr>
    </w:p>
    <w:sectPr w:rsidR="000E2BB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4EF98E0-8D9C-774F-93E1-A3978F2EE5DB}"/>
    <w:embedBold r:id="rId2" w:fontKey="{C5A1CA72-22B0-2441-B877-37BEA4CA8D3D}"/>
  </w:font>
  <w:font w:name="Play">
    <w:charset w:val="00"/>
    <w:family w:val="auto"/>
    <w:pitch w:val="default"/>
    <w:embedBold r:id="rId3" w:fontKey="{1F85B38E-F0D5-AB40-B7FB-18B5515037D2}"/>
  </w:font>
  <w:font w:name="Times New Roman">
    <w:panose1 w:val="02020603050405020304"/>
    <w:charset w:val="00"/>
    <w:family w:val="roman"/>
    <w:pitch w:val="variable"/>
    <w:sig w:usb0="E0002EFF" w:usb1="C000785B" w:usb2="00000009" w:usb3="00000000" w:csb0="000001FF" w:csb1="00000000"/>
    <w:embedRegular r:id="rId4" w:fontKey="{F582AC60-7FDE-664B-8419-3A1D89864086}"/>
    <w:embedBold r:id="rId5" w:fontKey="{E0EC6560-4D5B-5F45-B705-F7245D732849}"/>
    <w:embedItalic r:id="rId6" w:fontKey="{8037E770-CC4E-AD4E-82EA-653643762014}"/>
  </w:font>
  <w:font w:name="Georgia">
    <w:panose1 w:val="02040502050405020303"/>
    <w:charset w:val="00"/>
    <w:family w:val="roman"/>
    <w:pitch w:val="variable"/>
    <w:sig w:usb0="00000287" w:usb1="00000000" w:usb2="00000000" w:usb3="00000000" w:csb0="0000009F" w:csb1="00000000"/>
    <w:embedItalic r:id="rId7" w:fontKey="{F95B9B9F-2839-194B-A1DB-AE4E03E542C4}"/>
  </w:font>
  <w:font w:name="Calibri Light">
    <w:panose1 w:val="020F0302020204030204"/>
    <w:charset w:val="00"/>
    <w:family w:val="modern"/>
    <w:pitch w:val="variable"/>
    <w:sig w:usb0="00000003" w:usb1="00000000" w:usb2="00000000" w:usb3="00000000" w:csb0="00000001" w:csb1="00000000"/>
    <w:embedRegular r:id="rId8" w:fontKey="{3FF43C67-478F-D144-BF39-6CA7FFC107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4C5CA6"/>
    <w:multiLevelType w:val="multilevel"/>
    <w:tmpl w:val="4CDE521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80F1EF3"/>
    <w:multiLevelType w:val="multilevel"/>
    <w:tmpl w:val="F96A08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41796181">
    <w:abstractNumId w:val="1"/>
  </w:num>
  <w:num w:numId="2" w16cid:durableId="89489486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BB3"/>
    <w:rsid w:val="000E2BB3"/>
    <w:rsid w:val="001A4F8F"/>
    <w:rsid w:val="004204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EDDF703"/>
  <w15:docId w15:val="{F4CC9EA9-088C-CF48-8AC8-68164F718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line="276" w:lineRule="auto"/>
      <w:outlineLvl w:val="0"/>
    </w:pPr>
    <w:rPr>
      <w:rFonts w:ascii="Play" w:eastAsia="Play" w:hAnsi="Play" w:cs="Play"/>
      <w:b/>
      <w:bCs/>
      <w:color w:val="193C4B"/>
      <w:sz w:val="36"/>
      <w:szCs w:val="36"/>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paragraph">
    <w:name w:val="paragraph"/>
    <w:basedOn w:val="Normal"/>
    <w:rsid w:val="00CB700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B7005"/>
  </w:style>
  <w:style w:type="character" w:customStyle="1" w:styleId="eop">
    <w:name w:val="eop"/>
    <w:basedOn w:val="DefaultParagraphFont"/>
    <w:rsid w:val="00CB7005"/>
  </w:style>
  <w:style w:type="character" w:customStyle="1" w:styleId="scxw99426467">
    <w:name w:val="scxw99426467"/>
    <w:basedOn w:val="DefaultParagraphFont"/>
    <w:rsid w:val="00CB7005"/>
  </w:style>
  <w:style w:type="character" w:styleId="Strong">
    <w:name w:val="Strong"/>
    <w:basedOn w:val="DefaultParagraphFont"/>
    <w:uiPriority w:val="22"/>
    <w:qFormat/>
    <w:rsid w:val="00CB7005"/>
    <w:rPr>
      <w:b/>
      <w:bCs/>
    </w:rPr>
  </w:style>
  <w:style w:type="paragraph" w:styleId="ListParagraph">
    <w:name w:val="List Paragraph"/>
    <w:basedOn w:val="Normal"/>
    <w:uiPriority w:val="34"/>
    <w:qFormat/>
    <w:rsid w:val="009A0B83"/>
    <w:pPr>
      <w:ind w:left="720"/>
      <w:contextualSpacing/>
    </w:pPr>
  </w:style>
  <w:style w:type="character" w:customStyle="1" w:styleId="Heading1Char">
    <w:name w:val="Heading 1 Char"/>
    <w:basedOn w:val="DefaultParagraphFont"/>
    <w:link w:val="Heading1"/>
    <w:uiPriority w:val="9"/>
    <w:rsid w:val="006E6C55"/>
    <w:rPr>
      <w:rFonts w:ascii="Play" w:eastAsia="Play" w:hAnsi="Play" w:cs="Play"/>
      <w:b/>
      <w:bCs/>
      <w:color w:val="193C4B"/>
      <w:sz w:val="36"/>
      <w:szCs w:val="36"/>
      <w:lang w:val="en"/>
    </w:rPr>
  </w:style>
  <w:style w:type="table" w:styleId="TableGrid">
    <w:name w:val="Table Grid"/>
    <w:basedOn w:val="TableNormal"/>
    <w:uiPriority w:val="39"/>
    <w:rsid w:val="00AC78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228FE"/>
    <w:rPr>
      <w:color w:val="0563C1" w:themeColor="hyperlink"/>
      <w:u w:val="single"/>
    </w:rPr>
  </w:style>
  <w:style w:type="character" w:styleId="UnresolvedMention">
    <w:name w:val="Unresolved Mention"/>
    <w:basedOn w:val="DefaultParagraphFont"/>
    <w:uiPriority w:val="99"/>
    <w:semiHidden/>
    <w:unhideWhenUsed/>
    <w:rsid w:val="001228F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NormalWeb">
    <w:name w:val="Normal (Web)"/>
    <w:basedOn w:val="Normal"/>
    <w:uiPriority w:val="99"/>
    <w:unhideWhenUsed/>
    <w:rsid w:val="001A4F8F"/>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5753/erbd.2025.7328" TargetMode="External"/><Relationship Id="rId21" Type="http://schemas.openxmlformats.org/officeDocument/2006/relationships/hyperlink" Target="https://doi.org/10.1007/978-3-030-87101-7_15" TargetMode="External"/><Relationship Id="rId42" Type="http://schemas.openxmlformats.org/officeDocument/2006/relationships/hyperlink" Target="https://doi.org/10.1109/RE48521.2020.00025" TargetMode="External"/><Relationship Id="rId47" Type="http://schemas.openxmlformats.org/officeDocument/2006/relationships/hyperlink" Target="https://doi.org/10.21223/p3/dx5mwo" TargetMode="External"/><Relationship Id="rId63" Type="http://schemas.openxmlformats.org/officeDocument/2006/relationships/hyperlink" Target="https://www.osfi-bsif.gc.ca/en/guidance/guidance-library/technology-cyber-risk-management" TargetMode="External"/><Relationship Id="rId68" Type="http://schemas.openxmlformats.org/officeDocument/2006/relationships/hyperlink" Target="https://www.iso.org/standard/27701" TargetMode="External"/><Relationship Id="rId84" Type="http://schemas.openxmlformats.org/officeDocument/2006/relationships/hyperlink" Target="https://docs.open-metadata.org/v2.0.x/how-to-guides/data-contracts/spec" TargetMode="External"/><Relationship Id="rId89" Type="http://schemas.openxmlformats.org/officeDocument/2006/relationships/hyperlink" Target="https://www.backbase.com/blog/ai-governance-in-banking" TargetMode="External"/><Relationship Id="rId16" Type="http://schemas.openxmlformats.org/officeDocument/2006/relationships/hyperlink" Target="https://doi.org/10.1016/j.giq.2020.101493" TargetMode="External"/><Relationship Id="rId11" Type="http://schemas.openxmlformats.org/officeDocument/2006/relationships/hyperlink" Target="https://www.bis.org/publications/ifc-report-18-governance-and-implementation-artificial-intelligence-central-banks.pdf" TargetMode="External"/><Relationship Id="rId32" Type="http://schemas.openxmlformats.org/officeDocument/2006/relationships/hyperlink" Target="https://doi.org/10.36418/syntax-literate.v10i11.62337" TargetMode="External"/><Relationship Id="rId37" Type="http://schemas.openxmlformats.org/officeDocument/2006/relationships/hyperlink" Target="https://doi.org/10.1007/s43681-022-00143-x" TargetMode="External"/><Relationship Id="rId53" Type="http://schemas.openxmlformats.org/officeDocument/2006/relationships/hyperlink" Target="https://patents.google.com/patent/US11113633B2/en" TargetMode="External"/><Relationship Id="rId58" Type="http://schemas.openxmlformats.org/officeDocument/2006/relationships/hyperlink" Target="https://laws-lois.justice.gc.ca/eng/regulations/SOR-2018-64/" TargetMode="External"/><Relationship Id="rId74" Type="http://schemas.openxmlformats.org/officeDocument/2006/relationships/hyperlink" Target="https://doi.org/10.6028/NIST.AI.100-1" TargetMode="External"/><Relationship Id="rId79" Type="http://schemas.openxmlformats.org/officeDocument/2006/relationships/hyperlink" Target="https://www.ipc.on.ca/en/media/1264/download" TargetMode="External"/><Relationship Id="rId5" Type="http://schemas.openxmlformats.org/officeDocument/2006/relationships/webSettings" Target="webSettings.xml"/><Relationship Id="rId90" Type="http://schemas.openxmlformats.org/officeDocument/2006/relationships/hyperlink" Target="https://doi.org/10.69554/QPRT1565" TargetMode="External"/><Relationship Id="rId95" Type="http://schemas.openxmlformats.org/officeDocument/2006/relationships/hyperlink" Target="https://www.bis.org/ifc/publ/ifcb54.pdf" TargetMode="External"/><Relationship Id="rId22" Type="http://schemas.openxmlformats.org/officeDocument/2006/relationships/hyperlink" Target="https://doi.org/10.1007/s13222-023-00445-2" TargetMode="External"/><Relationship Id="rId27" Type="http://schemas.openxmlformats.org/officeDocument/2006/relationships/hyperlink" Target="https://doi.org/10.1007/s00778-017-0486-1" TargetMode="External"/><Relationship Id="rId43" Type="http://schemas.openxmlformats.org/officeDocument/2006/relationships/hyperlink" Target="https://doi.org/10.1145/3691620.3695353" TargetMode="External"/><Relationship Id="rId48" Type="http://schemas.openxmlformats.org/officeDocument/2006/relationships/hyperlink" Target="https://bibliotek.nav.no/record/5716" TargetMode="External"/><Relationship Id="rId64" Type="http://schemas.openxmlformats.org/officeDocument/2006/relationships/hyperlink" Target="https://www.osfi-bsif.gc.ca/en/guidance/guidance-library/guideline-e-23-model-risk-management-2027" TargetMode="External"/><Relationship Id="rId69" Type="http://schemas.openxmlformats.org/officeDocument/2006/relationships/hyperlink" Target="https://webstore.iec.ch/publication/90574" TargetMode="External"/><Relationship Id="rId80" Type="http://schemas.openxmlformats.org/officeDocument/2006/relationships/hyperlink" Target="https://www.iapp.org/resources/article/ai-governance-profession-report" TargetMode="External"/><Relationship Id="rId85" Type="http://schemas.openxmlformats.org/officeDocument/2006/relationships/hyperlink" Target="https://docs.open-metadata.org/v2.0.x/how-to-guides/mcp" TargetMode="External"/><Relationship Id="rId3" Type="http://schemas.openxmlformats.org/officeDocument/2006/relationships/styles" Target="styles.xml"/><Relationship Id="rId12" Type="http://schemas.openxmlformats.org/officeDocument/2006/relationships/hyperlink" Target="https://ocul-uo.primo.exlibrisgroup.com/discovery/fulldisplay?docid=alma991045276650705161&amp;context=L&amp;vid=01OCUL_UO:UO_DEFAULT&amp;lang=en&amp;search_scope=OCULDiscoveryNetworkNew&amp;adaptor=Local%20Search%20Engine&amp;tab=OCULDiscoveryNetwork&amp;query=any,contains,AI%20Governance%20Tool&amp;offset=0" TargetMode="External"/><Relationship Id="rId17" Type="http://schemas.openxmlformats.org/officeDocument/2006/relationships/hyperlink" Target="https://doi.org/10.1016/j.im.2022.103642" TargetMode="External"/><Relationship Id="rId25" Type="http://schemas.openxmlformats.org/officeDocument/2006/relationships/hyperlink" Target="https://doi.org/10.1007/s10844-020-00608-7" TargetMode="External"/><Relationship Id="rId33" Type="http://schemas.openxmlformats.org/officeDocument/2006/relationships/hyperlink" Target="https://doi.org/10.5281/zenodo.20257072" TargetMode="External"/><Relationship Id="rId38" Type="http://schemas.openxmlformats.org/officeDocument/2006/relationships/hyperlink" Target="https://doi.org/10.1108/INTR-01-2022-0042" TargetMode="External"/><Relationship Id="rId46" Type="http://schemas.openxmlformats.org/officeDocument/2006/relationships/hyperlink" Target="https://doi.org/10.1109/TDSC.2014.2369048" TargetMode="External"/><Relationship Id="rId59" Type="http://schemas.openxmlformats.org/officeDocument/2006/relationships/hyperlink" Target="https://www.parl.ca/legisinfo/en/bill/45-1/c-36" TargetMode="External"/><Relationship Id="rId67" Type="http://schemas.openxmlformats.org/officeDocument/2006/relationships/hyperlink" Target="https://www.iso.org/standard/87195.html" TargetMode="External"/><Relationship Id="rId20" Type="http://schemas.openxmlformats.org/officeDocument/2006/relationships/hyperlink" Target="https://doi.org/10.1109/CBI49978.2020.00029" TargetMode="External"/><Relationship Id="rId41" Type="http://schemas.openxmlformats.org/officeDocument/2006/relationships/hyperlink" Target="https://doi.org/10.1609/aies.v8i1.36587" TargetMode="External"/><Relationship Id="rId54" Type="http://schemas.openxmlformats.org/officeDocument/2006/relationships/hyperlink" Target="https://patents.google.com/patent/US11556661B2/en" TargetMode="External"/><Relationship Id="rId62" Type="http://schemas.openxmlformats.org/officeDocument/2006/relationships/hyperlink" Target="https://www.priv.gc.ca/en/opc-actions-and-decisions/investigations/investigations-into-businesses/2020/pipeda-2020-005/" TargetMode="External"/><Relationship Id="rId70" Type="http://schemas.openxmlformats.org/officeDocument/2006/relationships/hyperlink" Target="https://www.iso.org/standard/71677.html" TargetMode="External"/><Relationship Id="rId75" Type="http://schemas.openxmlformats.org/officeDocument/2006/relationships/hyperlink" Target="https://doi.org/10.6028/NIST.SP.800-122" TargetMode="External"/><Relationship Id="rId83" Type="http://schemas.openxmlformats.org/officeDocument/2006/relationships/hyperlink" Target="https://docs.open-metadata.org/v2.0.x/how-to-guides/admin-guide/roles-policies" TargetMode="External"/><Relationship Id="rId88" Type="http://schemas.openxmlformats.org/officeDocument/2006/relationships/hyperlink" Target="https://link.gale.com/apps/doc/A814376582/ITBC?u=otta77973&amp;sid=bookmark-ITBC&amp;xid=1ee381ce" TargetMode="External"/><Relationship Id="rId91" Type="http://schemas.openxmlformats.org/officeDocument/2006/relationships/hyperlink" Target="https://doi.org/10.69554/QPRT1565"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doi.org/10.1145/1629175.1629210" TargetMode="External"/><Relationship Id="rId23" Type="http://schemas.openxmlformats.org/officeDocument/2006/relationships/hyperlink" Target="https://doi.org/10.17762/ijfrcsce.v8i1.2063" TargetMode="External"/><Relationship Id="rId28" Type="http://schemas.openxmlformats.org/officeDocument/2006/relationships/hyperlink" Target="http://citeseerx.ist.psu.edu/viewdoc/summary?doi=10.1.1.527.6676" TargetMode="External"/><Relationship Id="rId36" Type="http://schemas.openxmlformats.org/officeDocument/2006/relationships/hyperlink" Target="https://doi.org/10.1038/s41467-019-10933-3" TargetMode="External"/><Relationship Id="rId49" Type="http://schemas.openxmlformats.org/officeDocument/2006/relationships/hyperlink" Target="https://www.oreilly.com/library/view/the-data-warehouse/9781118530801/" TargetMode="External"/><Relationship Id="rId57" Type="http://schemas.openxmlformats.org/officeDocument/2006/relationships/hyperlink" Target="https://laws-lois.justice.gc.ca/eng/acts/P-8.6/" TargetMode="External"/><Relationship Id="rId10" Type="http://schemas.openxmlformats.org/officeDocument/2006/relationships/hyperlink" Target="https://www.backbase.com/blog/ai-governance-in-banking" TargetMode="External"/><Relationship Id="rId31" Type="http://schemas.openxmlformats.org/officeDocument/2006/relationships/hyperlink" Target="https://scholarship.law.gwu.edu/faculty_publications/940" TargetMode="External"/><Relationship Id="rId44" Type="http://schemas.openxmlformats.org/officeDocument/2006/relationships/hyperlink" Target="https://doi.org/10.1145/3796519" TargetMode="External"/><Relationship Id="rId52" Type="http://schemas.openxmlformats.org/officeDocument/2006/relationships/hyperlink" Target="https://patents.google.com/patent/US10984316B2/en" TargetMode="External"/><Relationship Id="rId60" Type="http://schemas.openxmlformats.org/officeDocument/2006/relationships/hyperlink" Target="https://www.priv.gc.ca/en/privacy-topics/collecting-personal-information/consent/gl_omc_201805/" TargetMode="External"/><Relationship Id="rId65" Type="http://schemas.openxmlformats.org/officeDocument/2006/relationships/hyperlink" Target="https://fintrac-canafe.canada.ca/guidance-directives/recordkeeping-document/record/fin-eng" TargetMode="External"/><Relationship Id="rId73" Type="http://schemas.openxmlformats.org/officeDocument/2006/relationships/hyperlink" Target="https://csrc.nist.gov/pubs/cswp/40/nist-privacy-framework-11/ipd" TargetMode="External"/><Relationship Id="rId78" Type="http://schemas.openxmlformats.org/officeDocument/2006/relationships/hyperlink" Target="https://www.bis.org/bcbs/publ/d559.htm" TargetMode="External"/><Relationship Id="rId81" Type="http://schemas.openxmlformats.org/officeDocument/2006/relationships/hyperlink" Target="https://www.gartner.com/en/documents/6059363" TargetMode="External"/><Relationship Id="rId86" Type="http://schemas.openxmlformats.org/officeDocument/2006/relationships/hyperlink" Target="https://github.com/open-metadata/OpenMetadata/blob/2.0.5-release/ingestion/src/metadata/workflow/classification.py" TargetMode="External"/><Relationship Id="rId94" Type="http://schemas.openxmlformats.org/officeDocument/2006/relationships/hyperlink" Target="https://www.bis.org/ifc/publ/ifcb54.pdf" TargetMode="External"/><Relationship Id="rId4" Type="http://schemas.openxmlformats.org/officeDocument/2006/relationships/settings" Target="settings.xml"/><Relationship Id="rId9" Type="http://schemas.openxmlformats.org/officeDocument/2006/relationships/hyperlink" Target="https://www.osfi-bsif.gc.ca/en/about-osfi/reports-publications/osfi-fcac-risk-report-ai-uses-risks-federally-regulated-financial-institutions" TargetMode="External"/><Relationship Id="rId13" Type="http://schemas.openxmlformats.org/officeDocument/2006/relationships/hyperlink" Target="https://www.bis.org/publications/ifc-bulletin-54-issues-data-governance.pdf" TargetMode="External"/><Relationship Id="rId18" Type="http://schemas.openxmlformats.org/officeDocument/2006/relationships/hyperlink" Target="https://doi.org/10.17705/1CAIS.02903" TargetMode="External"/><Relationship Id="rId39" Type="http://schemas.openxmlformats.org/officeDocument/2006/relationships/hyperlink" Target="https://doi.org/10.1518/001872097778543886" TargetMode="External"/><Relationship Id="rId34" Type="http://schemas.openxmlformats.org/officeDocument/2006/relationships/hyperlink" Target="https://doi.org/10.36348/gajeb.2026.v08i05.021" TargetMode="External"/><Relationship Id="rId50" Type="http://schemas.openxmlformats.org/officeDocument/2006/relationships/hyperlink" Target="https://www.oreilly.com/library/view/driving-data-quality/9781837635009/" TargetMode="External"/><Relationship Id="rId55" Type="http://schemas.openxmlformats.org/officeDocument/2006/relationships/hyperlink" Target="https://patents.google.com/patent/US12038948B2/en" TargetMode="External"/><Relationship Id="rId76" Type="http://schemas.openxmlformats.org/officeDocument/2006/relationships/hyperlink" Target="https://doi.org/10.6028/NIST.SP.800-162" TargetMode="External"/><Relationship Id="rId97" Type="http://schemas.openxmlformats.org/officeDocument/2006/relationships/theme" Target="theme/theme1.xml"/><Relationship Id="rId7" Type="http://schemas.openxmlformats.org/officeDocument/2006/relationships/hyperlink" Target="https://go.gale.com/ps/i.do?id=GALE%7CA814376582&amp;v=2.1&amp;it=r&amp;u=otta77973&amp;p=ITBC&amp;aty=shibboleth" TargetMode="External"/><Relationship Id="rId71" Type="http://schemas.openxmlformats.org/officeDocument/2006/relationships/hyperlink" Target="https://www.iso.org/standard/81088.html" TargetMode="External"/><Relationship Id="rId92" Type="http://schemas.openxmlformats.org/officeDocument/2006/relationships/hyperlink" Target="https://www.osfi-bsif.gc.ca/en/about-osfi/reports-publications/osfi-fcac-risk-report-ai-uses-risks-federally-regulated-financial-institutions" TargetMode="External"/><Relationship Id="rId2" Type="http://schemas.openxmlformats.org/officeDocument/2006/relationships/numbering" Target="numbering.xml"/><Relationship Id="rId29" Type="http://schemas.openxmlformats.org/officeDocument/2006/relationships/hyperlink" Target="https://doi.org/10.1080/07421222.1996.11518099" TargetMode="External"/><Relationship Id="rId24" Type="http://schemas.openxmlformats.org/officeDocument/2006/relationships/hyperlink" Target="https://doi.org/10.1016/j.jss.2025.112584" TargetMode="External"/><Relationship Id="rId40" Type="http://schemas.openxmlformats.org/officeDocument/2006/relationships/hyperlink" Target="https://doi.org/10.1136/amiajnl-2011-000089" TargetMode="External"/><Relationship Id="rId45" Type="http://schemas.openxmlformats.org/officeDocument/2006/relationships/hyperlink" Target="https://doi.org/10.1007/978-3-032-32726-0_29" TargetMode="External"/><Relationship Id="rId66" Type="http://schemas.openxmlformats.org/officeDocument/2006/relationships/hyperlink" Target="https://fintrac-canafe.canada.ca/guidance-directives/transaction-operation/lctr-doie/lctr-doie-eng" TargetMode="External"/><Relationship Id="rId87" Type="http://schemas.openxmlformats.org/officeDocument/2006/relationships/hyperlink" Target="https://microsoft.github.io/presidio/" TargetMode="External"/><Relationship Id="rId61" Type="http://schemas.openxmlformats.org/officeDocument/2006/relationships/hyperlink" Target="https://www.priv.gc.ca/en/privacy-topics/privacy-laws-in-canada/the-personal-information-protection-and-electronic-documents-act-pipeda/pipeda-compliance-help/pipeda-interpretation-bulletins/interpretations_10_sensible/" TargetMode="External"/><Relationship Id="rId82" Type="http://schemas.openxmlformats.org/officeDocument/2006/relationships/hyperlink" Target="https://docs.open-metadata.org/v2.0.x/how-to-guides/data-governance/classification/auto-classification" TargetMode="External"/><Relationship Id="rId19" Type="http://schemas.openxmlformats.org/officeDocument/2006/relationships/hyperlink" Target="https://doi.org/10.1007/978-3-030-44999-5_36" TargetMode="External"/><Relationship Id="rId14" Type="http://schemas.openxmlformats.org/officeDocument/2006/relationships/hyperlink" Target="https://doi.org/10.1016/j.ijinfomgt.2019.07.008" TargetMode="External"/><Relationship Id="rId30" Type="http://schemas.openxmlformats.org/officeDocument/2006/relationships/hyperlink" Target="https://arxiv.org/abs/2012.09597" TargetMode="External"/><Relationship Id="rId35" Type="http://schemas.openxmlformats.org/officeDocument/2006/relationships/hyperlink" Target="https://doi.org/10.1142/S0218488502001648" TargetMode="External"/><Relationship Id="rId56" Type="http://schemas.openxmlformats.org/officeDocument/2006/relationships/hyperlink" Target="https://patents.google.com/patent/US11809980B1/en" TargetMode="External"/><Relationship Id="rId77" Type="http://schemas.openxmlformats.org/officeDocument/2006/relationships/hyperlink" Target="https://www.bis.org/publ/bcbs239.pdf" TargetMode="External"/><Relationship Id="rId8" Type="http://schemas.openxmlformats.org/officeDocument/2006/relationships/hyperlink" Target="https://hstalks.com/article/10070/artificial-intelligence-in-central-banks-governanc/?business" TargetMode="External"/><Relationship Id="rId51" Type="http://schemas.openxmlformats.org/officeDocument/2006/relationships/hyperlink" Target="https://bookshare.org/browse/book/6424476" TargetMode="External"/><Relationship Id="rId72" Type="http://schemas.openxmlformats.org/officeDocument/2006/relationships/hyperlink" Target="https://doi.org/10.6028/NIST.CSWP.01162020" TargetMode="External"/><Relationship Id="rId93" Type="http://schemas.openxmlformats.org/officeDocument/2006/relationships/hyperlink" Target="https://www.elgaronline.com/view/book/9781800379954/9781800379954.x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9YeEEXJ86JL0SASxGT1PFgupvg==">CgMxLjAaHwoBMBIaChgICVIUChJ0YWJsZS44ZHMybWZ5azRmamQaHwoBMRIaChgICVIUChJ0YWJsZS56ZXY4YnF4dHh6Y24aHwoBMhIaChgICVIUChJ0YWJsZS5zaGRwODM2YnRkbTQaHwoBMxIaChgICVIUChJ0YWJsZS45eTM4MWVrcmJ0c2waHgoBNBIZChcICVITChF0YWJsZS42emZhcG5zZnZ0YjIOaC5xZnhheG5kMW1hbmgyDmguaGV0bjF1dnBpdHI2Mg5oLjV3NnJ3cGljeWJvNTgAciExRmtiU0VvV3NYbnRFVHRPcldseDI2cGtMTjRBalh2MT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15926</Words>
  <Characters>90782</Characters>
  <Application>Microsoft Office Word</Application>
  <DocSecurity>0</DocSecurity>
  <Lines>756</Lines>
  <Paragraphs>212</Paragraphs>
  <ScaleCrop>false</ScaleCrop>
  <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Khang Nguyen Tran</dc:creator>
  <cp:lastModifiedBy>kshitij vengurlekar</cp:lastModifiedBy>
  <cp:revision>2</cp:revision>
  <dcterms:created xsi:type="dcterms:W3CDTF">2026-10-20T18:28:00Z</dcterms:created>
  <dcterms:modified xsi:type="dcterms:W3CDTF">2026-10-21T11:51:00Z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0x010100BC55B933F442FC409BB73AAC8BDA09F2</vt:lpwstr>
  </property>
</Properties>
</file>