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48"/>
          <w:szCs w:val="48"/>
        </w:rPr>
        <w:t xml:space="preserve"/>
      </w:r>
    </w:p>
    <w:p>
      <w:pPr>
        <w:spacing w:after="60" w:before="0"/>
        <w:jc w:val="center"/>
      </w:pPr>
      <w:r>
        <w:rPr>
          <w:rFonts w:ascii="Arial" w:cs="Arial" w:eastAsia="Arial" w:hAnsi="Arial"/>
          <w:b/>
          <w:bCs/>
          <w:color w:val="1F3864"/>
          <w:sz w:val="52"/>
          <w:szCs w:val="52"/>
        </w:rPr>
        <w:t xml:space="preserve">CLINICAL ECG DATASET ANALYSIS</w:t>
      </w:r>
    </w:p>
    <w:p>
      <w:pPr>
        <w:spacing w:after="60" w:before="0"/>
        <w:jc w:val="center"/>
      </w:pPr>
      <w:r>
        <w:rPr>
          <w:rFonts w:ascii="Arial" w:cs="Arial" w:eastAsia="Arial" w:hAnsi="Arial"/>
          <w:b/>
          <w:bCs/>
          <w:color w:val="1F3864"/>
          <w:sz w:val="52"/>
          <w:szCs w:val="52"/>
        </w:rPr>
        <w:t xml:space="preserve">&amp; MACHINE LEARNING DIAGNOSTIC REPORT</w:t>
      </w:r>
    </w:p>
    <w:p>
      <w:r>
        <w:rPr>
          <w:sz w:val="12"/>
          <w:szCs w:val="12"/>
        </w:rPr>
        <w:t xml:space="preserve"/>
      </w:r>
    </w:p>
    <w:p>
      <w:pPr>
        <w:pBdr>
          <w:top w:val="single" w:color="2E75B6" w:sz="8" w:space="4"/>
          <w:bottom w:val="single" w:color="2E75B6" w:sz="8" w:space="4"/>
        </w:pBdr>
        <w:spacing w:after="80" w:before="80"/>
        <w:jc w:val="center"/>
      </w:pPr>
      <w:r>
        <w:rPr>
          <w:rFonts w:ascii="Arial" w:cs="Arial" w:eastAsia="Arial" w:hAnsi="Arial"/>
          <w:i/>
          <w:iCs/>
          <w:color w:val="2E75B6"/>
          <w:sz w:val="24"/>
          <w:szCs w:val="24"/>
        </w:rPr>
        <w:t xml:space="preserve">A Data-Driven Decision Support System with Gradient Boosted Rhythms and Explainable Clinical AI</w:t>
      </w:r>
    </w:p>
    <w:p>
      <w:r>
        <w:rPr>
          <w:sz w:val="24"/>
          <w:szCs w:val="24"/>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tblGrid>
      <w:tr>
        <w:tc>
          <w:tcPr>
            <w:tcW w:type="dxa" w:w="28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System</w:t>
            </w:r>
          </w:p>
        </w:tc>
        <w:tc>
          <w:tcPr>
            <w:tcW w:type="dxa" w:w="4320"/>
            <w:tcBorders>
              <w:top w:val="single" w:color="CCCCCC" w:sz="1"/>
              <w:left w:val="single" w:color="CCCCCC" w:sz="1"/>
              <w:bottom w:val="single" w:color="CCCCCC" w:sz="1"/>
              <w:right w:val="single" w:color="CCCCCC" w:sz="1"/>
            </w:tcBorders>
            <w:shd w:fill="F2F4F5"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ECG Cardiac Rhythm Classification Pipeline</w:t>
            </w:r>
          </w:p>
        </w:tc>
      </w:tr>
      <w:tr>
        <w:tc>
          <w:tcPr>
            <w:tcW w:type="dxa" w:w="28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Core Model</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LightGBM (Histogram-Based Gradient Boosting)</w:t>
            </w:r>
          </w:p>
        </w:tc>
      </w:tr>
      <w:tr>
        <w:tc>
          <w:tcPr>
            <w:tcW w:type="dxa" w:w="28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XAI Layer</w:t>
            </w:r>
          </w:p>
        </w:tc>
        <w:tc>
          <w:tcPr>
            <w:tcW w:type="dxa" w:w="4320"/>
            <w:tcBorders>
              <w:top w:val="single" w:color="CCCCCC" w:sz="1"/>
              <w:left w:val="single" w:color="CCCCCC" w:sz="1"/>
              <w:bottom w:val="single" w:color="CCCCCC" w:sz="1"/>
              <w:right w:val="single" w:color="CCCCCC" w:sz="1"/>
            </w:tcBorders>
            <w:shd w:fill="F2F4F5"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Gemma 2B LLM (Local Inference / Rule-Based Fallback)</w:t>
            </w:r>
          </w:p>
        </w:tc>
      </w:tr>
      <w:tr>
        <w:tc>
          <w:tcPr>
            <w:tcW w:type="dxa" w:w="28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Dataset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PhysioNet-style ECG recordings (45,152 records)</w:t>
            </w:r>
          </w:p>
        </w:tc>
      </w:tr>
      <w:tr>
        <w:tc>
          <w:tcPr>
            <w:tcW w:type="dxa" w:w="28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Test Accuracy</w:t>
            </w:r>
          </w:p>
        </w:tc>
        <w:tc>
          <w:tcPr>
            <w:tcW w:type="dxa" w:w="4320"/>
            <w:tcBorders>
              <w:top w:val="single" w:color="CCCCCC" w:sz="1"/>
              <w:left w:val="single" w:color="CCCCCC" w:sz="1"/>
              <w:bottom w:val="single" w:color="CCCCCC" w:sz="1"/>
              <w:right w:val="single" w:color="CCCCCC" w:sz="1"/>
            </w:tcBorders>
            <w:shd w:fill="F2F4F5"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83.8% (Macro-F1: 0.800)</w:t>
            </w:r>
          </w:p>
        </w:tc>
      </w:tr>
      <w:tr>
        <w:tc>
          <w:tcPr>
            <w:tcW w:type="dxa" w:w="28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Report Type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Industry Technical + Research Analysis Report</w:t>
            </w:r>
          </w:p>
        </w:tc>
      </w:tr>
    </w:tbl>
    <w:p>
      <w:r>
        <w:rPr>
          <w:sz w:val="48"/>
          <w:szCs w:val="48"/>
        </w:rPr>
        <w:t xml:space="preserve"/>
      </w: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Abstract</w:t>
      </w:r>
    </w:p>
    <w:p>
      <w:pPr>
        <w:spacing w:after="80" w:before="60"/>
        <w:jc w:val="both"/>
      </w:pPr>
      <w:r>
        <w:rPr>
          <w:rFonts w:ascii="Arial" w:cs="Arial" w:eastAsia="Arial" w:hAnsi="Arial"/>
          <w:color w:val="2C3E50"/>
          <w:sz w:val="22"/>
          <w:szCs w:val="22"/>
        </w:rPr>
        <w:t xml:space="preserve">This report presents a comprehensive analysis of an ECG-based cardiac rhythm classification system, encompassing dataset profiling, feature engineering, statistical correlation analysis, ensemble machine learning model development, and explainable AI output interpretation. The pipeline ingests single-lead ECG recordings, extracts 14 clinically and statistically significant features, and applies a LightGBM classifier to categorize cardiac rhythms into three classes: Normal Sinus Rhythm, Arrhythmia, and Other/Unclassified.</w:t>
      </w:r>
    </w:p>
    <w:p>
      <w:r>
        <w:rPr>
          <w:sz w:val="12"/>
          <w:szCs w:val="12"/>
        </w:rPr>
        <w:t xml:space="preserve"/>
      </w:r>
    </w:p>
    <w:p>
      <w:pPr>
        <w:spacing w:after="80" w:before="60"/>
        <w:jc w:val="both"/>
      </w:pPr>
      <w:r>
        <w:rPr>
          <w:rFonts w:ascii="Arial" w:cs="Arial" w:eastAsia="Arial" w:hAnsi="Arial"/>
          <w:color w:val="2C3E50"/>
          <w:sz w:val="22"/>
          <w:szCs w:val="22"/>
        </w:rPr>
        <w:t xml:space="preserve">The final model achieves a test accuracy of 83.8% and a Macro-F1 score of 0.800 on a held-out evaluation set, outperforming linear baseline models by a margin of 15.6 percentage points. A key architectural decision separates predicted rhythm class from clinical risk level, allowing the system to flag physiologically dangerous cases even when the ML classifier assigns a benign label. An Explainable AI layer powered by the Gemma 2B language model generates natural-language clinical summaries for all high-risk predictions, enabling deployment as a human-in-the-loop clinical decision support tool.</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CCCCCC" w:sz="1"/>
              <w:right w:val="single" w:color="CCCCCC" w:sz="1"/>
            </w:tcBorders>
            <w:shd w:fill="D6E4F0" w:val="clear"/>
            <w:tcMar>
              <w:top w:type="dxa" w:w="100"/>
              <w:left w:type="dxa" w:w="200"/>
              <w:bottom w:type="dxa" w:w="100"/>
              <w:right w:type="dxa" w:w="140"/>
            </w:tcMar>
          </w:tcPr>
          <w:p>
            <w:r>
              <w:rPr>
                <w:rFonts w:ascii="Arial" w:cs="Arial" w:eastAsia="Arial" w:hAnsi="Arial"/>
                <w:b/>
                <w:bCs/>
                <w:color w:val="1F3864"/>
                <w:sz w:val="22"/>
                <w:szCs w:val="22"/>
              </w:rPr>
              <w:t xml:space="preserve">Keywords</w:t>
            </w:r>
          </w:p>
          <w:p>
            <w:pPr>
              <w:spacing w:before="40"/>
            </w:pPr>
            <w:r>
              <w:rPr>
                <w:rFonts w:ascii="Arial" w:cs="Arial" w:eastAsia="Arial" w:hAnsi="Arial"/>
                <w:color w:val="2C3E50"/>
                <w:sz w:val="21"/>
                <w:szCs w:val="21"/>
              </w:rPr>
              <w:t xml:space="preserve">Electrocardiogram, Arrhythmia Detection, LightGBM, Heart Rate Variability, Feature Importance, Explainable AI, Clinical Decision Support, Macro-F1, Class Imbalance</w:t>
            </w:r>
          </w:p>
        </w:tc>
      </w:tr>
    </w:tbl>
    <w:p>
      <w:r>
        <w:rPr>
          <w:sz w:val="24"/>
          <w:szCs w:val="24"/>
        </w:rPr>
        <w:t xml:space="preserve"/>
      </w: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1. Dataset Overview &amp; Data Quality</w:t>
      </w:r>
    </w:p>
    <w:p>
      <w:pPr>
        <w:pStyle w:val="Heading2"/>
        <w:spacing w:after="80" w:before="240"/>
      </w:pPr>
      <w:r>
        <w:rPr>
          <w:rFonts w:ascii="Arial" w:cs="Arial" w:eastAsia="Arial" w:hAnsi="Arial"/>
          <w:b/>
          <w:bCs/>
          <w:color w:val="2E75B6"/>
          <w:sz w:val="26"/>
          <w:szCs w:val="26"/>
        </w:rPr>
        <w:t xml:space="preserve">1.1 Dataset Provenance &amp; Scope</w:t>
      </w:r>
    </w:p>
    <w:p>
      <w:pPr>
        <w:spacing w:after="80" w:before="60"/>
        <w:jc w:val="both"/>
      </w:pPr>
      <w:r>
        <w:rPr>
          <w:rFonts w:ascii="Arial" w:cs="Arial" w:eastAsia="Arial" w:hAnsi="Arial"/>
          <w:color w:val="2C3E50"/>
          <w:sz w:val="22"/>
          <w:szCs w:val="22"/>
        </w:rPr>
        <w:t xml:space="preserve">The raw dataset is derived from PhysioNet-style single-lead ECG recordings. The complete dataset consists of 45,152 rows and 16 columns, including 14 physiological and demographic feature columns and 1 target label column. During model training, a stratified subset of 4,000 samples was drawn to maintain computational efficiency, avoid GPU memory constraints, and ensure balanced cross-validation fold stratification.</w:t>
      </w:r>
    </w:p>
    <w:p>
      <w:r>
        <w:rPr>
          <w:sz w:val="12"/>
          <w:szCs w:val="12"/>
        </w:rPr>
        <w:t xml:space="preserve"/>
      </w:r>
    </w:p>
    <w:p>
      <w:pPr>
        <w:pStyle w:val="Heading2"/>
        <w:spacing w:after="80" w:before="240"/>
      </w:pPr>
      <w:r>
        <w:rPr>
          <w:rFonts w:ascii="Arial" w:cs="Arial" w:eastAsia="Arial" w:hAnsi="Arial"/>
          <w:b/>
          <w:bCs/>
          <w:color w:val="2E75B6"/>
          <w:sz w:val="26"/>
          <w:szCs w:val="26"/>
        </w:rPr>
        <w:t xml:space="preserve">1.2 Missing Value Audit</w:t>
      </w:r>
    </w:p>
    <w:p>
      <w:pPr>
        <w:spacing w:after="80" w:before="60"/>
        <w:jc w:val="both"/>
      </w:pPr>
      <w:r>
        <w:rPr>
          <w:rFonts w:ascii="Arial" w:cs="Arial" w:eastAsia="Arial" w:hAnsi="Arial"/>
          <w:color w:val="2C3E50"/>
          <w:sz w:val="22"/>
          <w:szCs w:val="22"/>
        </w:rPr>
        <w:t xml:space="preserve">A complete data quality audit was performed using the query df.isnull().sum() across all 45,152 rows. The audit returned exactly zero missing values across all columns, confirming full dataset integrity. The following table summarizes all columns, their data types, and missing value counts: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80"/>
        <w:gridCol w:w="6500"/>
      </w:tblGrid>
      <w:tr>
        <w:tc>
          <w:tcPr>
            <w:tcW w:type="dxa" w:w="198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 Name</w:t>
            </w:r>
          </w:p>
        </w:tc>
        <w:tc>
          <w:tcPr>
            <w:tcW w:type="dxa" w:w="88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Missing</w:t>
            </w:r>
          </w:p>
        </w:tc>
        <w:tc>
          <w:tcPr>
            <w:tcW w:type="dxa" w:w="65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Clinical / Statistical Description</w:t>
            </w:r>
          </w:p>
        </w:tc>
      </w:tr>
      <w:tr>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filename</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0</w:t>
            </w:r>
          </w:p>
        </w:tc>
        <w:tc>
          <w:tcPr>
            <w:tcW w:type="dxa" w:w="6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Unique record identifier — removed before training (no signal value)</w:t>
            </w:r>
          </w:p>
        </w:tc>
      </w:tr>
      <w:tr>
        <w:tc>
          <w:tcPr>
            <w:tcW w:type="dxa" w:w="19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mean</w:t>
            </w:r>
          </w:p>
        </w:tc>
        <w:tc>
          <w:tcPr>
            <w:tcW w:type="dxa" w:w="8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0</w:t>
            </w:r>
          </w:p>
        </w:tc>
        <w:tc>
          <w:tcPr>
            <w:tcW w:type="dxa" w:w="6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Statistical mean of ECG signal amplitude (signal baseline offset)</w:t>
            </w:r>
          </w:p>
        </w:tc>
      </w:tr>
      <w:tr>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std</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0</w:t>
            </w:r>
          </w:p>
        </w:tc>
        <w:tc>
          <w:tcPr>
            <w:tcW w:type="dxa" w:w="6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Standard deviation — measures amplitude swing / signal variance</w:t>
            </w:r>
          </w:p>
        </w:tc>
      </w:tr>
      <w:tr>
        <w:tc>
          <w:tcPr>
            <w:tcW w:type="dxa" w:w="19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max</w:t>
            </w:r>
          </w:p>
        </w:tc>
        <w:tc>
          <w:tcPr>
            <w:tcW w:type="dxa" w:w="8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0</w:t>
            </w:r>
          </w:p>
        </w:tc>
        <w:tc>
          <w:tcPr>
            <w:tcW w:type="dxa" w:w="6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Maximum positive peak voltage (R-peak amplitude)</w:t>
            </w:r>
          </w:p>
        </w:tc>
      </w:tr>
      <w:tr>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min</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0</w:t>
            </w:r>
          </w:p>
        </w:tc>
        <w:tc>
          <w:tcPr>
            <w:tcW w:type="dxa" w:w="6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Minimum negative peak voltage (S-wave depth)</w:t>
            </w:r>
          </w:p>
        </w:tc>
      </w:tr>
      <w:tr>
        <w:tc>
          <w:tcPr>
            <w:tcW w:type="dxa" w:w="19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peak_count</w:t>
            </w:r>
          </w:p>
        </w:tc>
        <w:tc>
          <w:tcPr>
            <w:tcW w:type="dxa" w:w="8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0</w:t>
            </w:r>
          </w:p>
        </w:tc>
        <w:tc>
          <w:tcPr>
            <w:tcW w:type="dxa" w:w="6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Total detected R-peaks (heartbeat count) within the recording window</w:t>
            </w:r>
          </w:p>
        </w:tc>
      </w:tr>
      <w:tr>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heart_rate</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0</w:t>
            </w:r>
          </w:p>
        </w:tc>
        <w:tc>
          <w:tcPr>
            <w:tcW w:type="dxa" w:w="6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Heart rate derived as BPM from peak count and recording duration</w:t>
            </w:r>
          </w:p>
        </w:tc>
      </w:tr>
      <w:tr>
        <w:tc>
          <w:tcPr>
            <w:tcW w:type="dxa" w:w="19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energy</w:t>
            </w:r>
          </w:p>
        </w:tc>
        <w:tc>
          <w:tcPr>
            <w:tcW w:type="dxa" w:w="8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0</w:t>
            </w:r>
          </w:p>
        </w:tc>
        <w:tc>
          <w:tcPr>
            <w:tcW w:type="dxa" w:w="6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Total spectral energy of the signal (L2 norm of amplitude vector)</w:t>
            </w:r>
          </w:p>
        </w:tc>
      </w:tr>
      <w:tr>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zero_crossings</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0</w:t>
            </w:r>
          </w:p>
        </w:tc>
        <w:tc>
          <w:tcPr>
            <w:tcW w:type="dxa" w:w="6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Rate at which the signal crosses the zero baseline (frequency proxy)</w:t>
            </w:r>
          </w:p>
        </w:tc>
      </w:tr>
      <w:tr>
        <w:tc>
          <w:tcPr>
            <w:tcW w:type="dxa" w:w="19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hrv</w:t>
            </w:r>
          </w:p>
        </w:tc>
        <w:tc>
          <w:tcPr>
            <w:tcW w:type="dxa" w:w="8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0</w:t>
            </w:r>
          </w:p>
        </w:tc>
        <w:tc>
          <w:tcPr>
            <w:tcW w:type="dxa" w:w="6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Heart Rate Variability — variance of R-to-R intervals in milliseconds</w:t>
            </w:r>
          </w:p>
        </w:tc>
      </w:tr>
      <w:tr>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rr_mean</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0</w:t>
            </w:r>
          </w:p>
        </w:tc>
        <w:tc>
          <w:tcPr>
            <w:tcW w:type="dxa" w:w="6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Mean interval between consecutive R-peaks in milliseconds</w:t>
            </w:r>
          </w:p>
        </w:tc>
      </w:tr>
      <w:tr>
        <w:tc>
          <w:tcPr>
            <w:tcW w:type="dxa" w:w="19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skewness</w:t>
            </w:r>
          </w:p>
        </w:tc>
        <w:tc>
          <w:tcPr>
            <w:tcW w:type="dxa" w:w="8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0</w:t>
            </w:r>
          </w:p>
        </w:tc>
        <w:tc>
          <w:tcPr>
            <w:tcW w:type="dxa" w:w="6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Asymmetry coefficient of the voltage amplitude distribution</w:t>
            </w:r>
          </w:p>
        </w:tc>
      </w:tr>
      <w:tr>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kurtosis</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0</w:t>
            </w:r>
          </w:p>
        </w:tc>
        <w:tc>
          <w:tcPr>
            <w:tcW w:type="dxa" w:w="6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Peakedness / tail weight of the ECG waveform shape</w:t>
            </w:r>
          </w:p>
        </w:tc>
      </w:tr>
      <w:tr>
        <w:tc>
          <w:tcPr>
            <w:tcW w:type="dxa" w:w="19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age</w:t>
            </w:r>
          </w:p>
        </w:tc>
        <w:tc>
          <w:tcPr>
            <w:tcW w:type="dxa" w:w="8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0</w:t>
            </w:r>
          </w:p>
        </w:tc>
        <w:tc>
          <w:tcPr>
            <w:tcW w:type="dxa" w:w="6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Patient age in years (demographic risk factor)</w:t>
            </w:r>
          </w:p>
        </w:tc>
      </w:tr>
      <w:tr>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sex</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0</w:t>
            </w:r>
          </w:p>
        </w:tc>
        <w:tc>
          <w:tcPr>
            <w:tcW w:type="dxa" w:w="6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Biological sex (encoded: 1 = Male, 0 = Female)</w:t>
            </w:r>
          </w:p>
        </w:tc>
      </w:tr>
      <w:tr>
        <w:tc>
          <w:tcPr>
            <w:tcW w:type="dxa" w:w="19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label</w:t>
            </w:r>
          </w:p>
        </w:tc>
        <w:tc>
          <w:tcPr>
            <w:tcW w:type="dxa" w:w="8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0</w:t>
            </w:r>
          </w:p>
        </w:tc>
        <w:tc>
          <w:tcPr>
            <w:tcW w:type="dxa" w:w="6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Target class: 0 = Normal, 1 = Arrhythmia, 2 = Other/Unclassified</w:t>
            </w:r>
          </w:p>
        </w:tc>
      </w:tr>
    </w:tbl>
    <w:p>
      <w:r>
        <w:rPr>
          <w:sz w:val="24"/>
          <w:szCs w:val="24"/>
        </w:rPr>
        <w:t xml:space="preserve"/>
      </w:r>
    </w:p>
    <w:p>
      <w:pPr>
        <w:pStyle w:val="Heading2"/>
        <w:spacing w:after="80" w:before="240"/>
      </w:pPr>
      <w:r>
        <w:rPr>
          <w:rFonts w:ascii="Arial" w:cs="Arial" w:eastAsia="Arial" w:hAnsi="Arial"/>
          <w:b/>
          <w:bCs/>
          <w:color w:val="2E75B6"/>
          <w:sz w:val="26"/>
          <w:szCs w:val="26"/>
        </w:rPr>
        <w:t xml:space="preserve">1.3 Data Cleaning &amp; Preprocessing Decisions</w:t>
      </w:r>
    </w:p>
    <w:p>
      <w:pPr>
        <w:spacing w:after="60" w:before="160"/>
      </w:pPr>
      <w:r>
        <w:rPr>
          <w:rFonts w:ascii="Arial" w:cs="Arial" w:eastAsia="Arial" w:hAnsi="Arial"/>
          <w:b/>
          <w:bCs/>
          <w:color w:val="2C3E50"/>
          <w:sz w:val="22"/>
          <w:szCs w:val="22"/>
        </w:rPr>
        <w:t xml:space="preserve">1.3.1 Removal of filename Column</w:t>
      </w:r>
    </w:p>
    <w:p>
      <w:pPr>
        <w:spacing w:after="80" w:before="60"/>
        <w:jc w:val="both"/>
      </w:pPr>
      <w:r>
        <w:rPr>
          <w:rFonts w:ascii="Arial" w:cs="Arial" w:eastAsia="Arial" w:hAnsi="Arial"/>
          <w:color w:val="2C3E50"/>
          <w:sz w:val="22"/>
          <w:szCs w:val="22"/>
        </w:rPr>
        <w:t xml:space="preserve">The filename column was excluded prior to any model training. As a unique string identifier, it contains no generalizable physiological pattern. Retaining it would introduce a non-numeric, high-cardinality categorical feature that could cause tree splits to memorize record identifiers rather than learn signal characteristics, a textbook form of target leakage via proxy.</w:t>
      </w:r>
    </w:p>
    <w:p>
      <w:r>
        <w:rPr>
          <w:sz w:val="12"/>
          <w:szCs w:val="12"/>
        </w:rPr>
        <w:t xml:space="preserve"/>
      </w:r>
    </w:p>
    <w:p>
      <w:pPr>
        <w:spacing w:after="60" w:before="160"/>
      </w:pPr>
      <w:r>
        <w:rPr>
          <w:rFonts w:ascii="Arial" w:cs="Arial" w:eastAsia="Arial" w:hAnsi="Arial"/>
          <w:b/>
          <w:bCs/>
          <w:color w:val="2C3E50"/>
          <w:sz w:val="22"/>
          <w:szCs w:val="22"/>
        </w:rPr>
        <w:t xml:space="preserve">1.3.2 Why No Imputation Was Applied</w:t>
      </w:r>
    </w:p>
    <w:p>
      <w:pPr>
        <w:spacing w:after="80" w:before="60"/>
        <w:jc w:val="both"/>
      </w:pPr>
      <w:r>
        <w:rPr>
          <w:rFonts w:ascii="Arial" w:cs="Arial" w:eastAsia="Arial" w:hAnsi="Arial"/>
          <w:color w:val="2C3E50"/>
          <w:sz w:val="22"/>
          <w:szCs w:val="22"/>
        </w:rPr>
        <w:t xml:space="preserve">Because the missing value audit returned zero NaNs across 45,152 rows, no imputation was required. This is a methodologically important outcome: applying mean, median, or mode imputation when data is already complete would introduce synthetic statistical artifacts, subtly distorting the true distributions of skewness, kurtosis, and standard deviation. Preserving raw feature distributions is critical for a medically sensitive classification task where distributional shifts directly affect clinical interpretation.</w:t>
      </w:r>
    </w:p>
    <w:p>
      <w:r>
        <w:rPr>
          <w:sz w:val="12"/>
          <w:szCs w:val="12"/>
        </w:rPr>
        <w:t xml:space="preserve"/>
      </w:r>
    </w:p>
    <w:p>
      <w:pPr>
        <w:spacing w:after="60" w:before="160"/>
      </w:pPr>
      <w:r>
        <w:rPr>
          <w:rFonts w:ascii="Arial" w:cs="Arial" w:eastAsia="Arial" w:hAnsi="Arial"/>
          <w:b/>
          <w:bCs/>
          <w:color w:val="2C3E50"/>
          <w:sz w:val="22"/>
          <w:szCs w:val="22"/>
        </w:rPr>
        <w:t xml:space="preserve">1.3.3 Feature Scaling (StandardScaler)</w:t>
      </w:r>
    </w:p>
    <w:p>
      <w:pPr>
        <w:spacing w:after="80" w:before="60"/>
        <w:jc w:val="both"/>
      </w:pPr>
      <w:r>
        <w:rPr>
          <w:rFonts w:ascii="Arial" w:cs="Arial" w:eastAsia="Arial" w:hAnsi="Arial"/>
          <w:color w:val="2C3E50"/>
          <w:sz w:val="22"/>
          <w:szCs w:val="22"/>
        </w:rPr>
        <w:t xml:space="preserve">All features were normalized using z-score standardization (mean = 0, standard deviation = 1) via scikit-learn's StandardScaler, saved as scaler.pkl. This was required because feature magnitudes span radically different scales: the energy feature reaches values in the thousands, while skewness and kurtosis remain within [-3, 3]. Without standardization, distance-sensitive components of the optimization landscape (particularly in Logistic Regression gradient descent) would be dominated by high-magnitude features, rendering low-magnitude but diagnostically valuable features such as HRV numerically invisible during training.</w:t>
      </w:r>
    </w:p>
    <w:p>
      <w:r>
        <w:rPr>
          <w:sz w:val="12"/>
          <w:szCs w:val="12"/>
        </w:rPr>
        <w:t xml:space="preserve"/>
      </w:r>
    </w:p>
    <w:p>
      <w:pPr>
        <w:spacing w:after="60" w:before="160"/>
      </w:pPr>
      <w:r>
        <w:rPr>
          <w:rFonts w:ascii="Arial" w:cs="Arial" w:eastAsia="Arial" w:hAnsi="Arial"/>
          <w:b/>
          <w:bCs/>
          <w:color w:val="2C3E50"/>
          <w:sz w:val="22"/>
          <w:szCs w:val="22"/>
        </w:rPr>
        <w:t xml:space="preserve">1.3.4 Stratified Train-Test Split</w:t>
      </w:r>
    </w:p>
    <w:p>
      <w:pPr>
        <w:spacing w:after="80" w:before="60"/>
        <w:jc w:val="both"/>
      </w:pPr>
      <w:r>
        <w:rPr>
          <w:rFonts w:ascii="Arial" w:cs="Arial" w:eastAsia="Arial" w:hAnsi="Arial"/>
          <w:color w:val="2C3E50"/>
          <w:sz w:val="22"/>
          <w:szCs w:val="22"/>
        </w:rPr>
        <w:t xml:space="preserve">The 4,000-sample training subset was partitioned into an 80/20 train-test split (3,200 training, 800 test samples). The split was strictly stratified by class label to ensure that the class imbalance ratios (60% Arrhythmia, 23.75% Other, 16.25% Normal) are identically represented in both training and evaluation subsets. Without stratification, random chance could produce an evaluation set with near-zero Normal samples, artificially inflating accuracy metrics while masking catastrophic recall failures on minority classes.</w:t>
      </w:r>
    </w:p>
    <w:p>
      <w:r>
        <w:rPr>
          <w:sz w:val="24"/>
          <w:szCs w:val="24"/>
        </w:rPr>
        <w:t xml:space="preserve"/>
      </w: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2. Feature Redundancy &amp; Correlation Analysis</w:t>
      </w:r>
    </w:p>
    <w:p>
      <w:pPr>
        <w:spacing w:after="80" w:before="60"/>
        <w:jc w:val="both"/>
      </w:pPr>
      <w:r>
        <w:rPr>
          <w:rFonts w:ascii="Arial" w:cs="Arial" w:eastAsia="Arial" w:hAnsi="Arial"/>
          <w:color w:val="2C3E50"/>
          <w:sz w:val="22"/>
          <w:szCs w:val="22"/>
        </w:rPr>
        <w:t xml:space="preserve">A Pearson correlation matrix was computed across all 14 numerical features. The resulting heatmap reveals critical physiological and mathematical dependencies that directly inform model behavior and feature selection:</w:t>
      </w:r>
    </w:p>
    <w:p>
      <w:r>
        <w:rPr>
          <w:sz w:val="12"/>
          <w:szCs w:val="12"/>
        </w:rPr>
        <w:t xml:space="preserve"/>
      </w:r>
    </w:p>
    <w:p>
      <w:pPr>
        <w:pStyle w:val="Heading2"/>
        <w:spacing w:after="80" w:before="240"/>
      </w:pPr>
      <w:r>
        <w:rPr>
          <w:rFonts w:ascii="Arial" w:cs="Arial" w:eastAsia="Arial" w:hAnsi="Arial"/>
          <w:b/>
          <w:bCs/>
          <w:color w:val="2E75B6"/>
          <w:sz w:val="26"/>
          <w:szCs w:val="26"/>
        </w:rPr>
        <w:t xml:space="preserve">2.1 Perfect Positive Correlation: heart_rate vs peak_count (r =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CCCCCC" w:sz="1"/>
              <w:right w:val="single" w:color="CCCCCC" w:sz="1"/>
            </w:tcBorders>
            <w:shd w:fill="D6E4F0" w:val="clear"/>
            <w:tcMar>
              <w:top w:type="dxa" w:w="100"/>
              <w:left w:type="dxa" w:w="200"/>
              <w:bottom w:type="dxa" w:w="100"/>
              <w:right w:type="dxa" w:w="140"/>
            </w:tcMar>
          </w:tcPr>
          <w:p>
            <w:r>
              <w:rPr>
                <w:rFonts w:ascii="Arial" w:cs="Arial" w:eastAsia="Arial" w:hAnsi="Arial"/>
                <w:b/>
                <w:bCs/>
                <w:color w:val="1F3864"/>
                <w:sz w:val="22"/>
                <w:szCs w:val="22"/>
              </w:rPr>
              <w:t xml:space="preserve">Redundancy Finding</w:t>
            </w:r>
          </w:p>
          <w:p>
            <w:pPr>
              <w:spacing w:before="40"/>
            </w:pPr>
            <w:r>
              <w:rPr>
                <w:rFonts w:ascii="Arial" w:cs="Arial" w:eastAsia="Arial" w:hAnsi="Arial"/>
                <w:color w:val="2C3E50"/>
                <w:sz w:val="21"/>
                <w:szCs w:val="21"/>
              </w:rPr>
              <w:t xml:space="preserve">The heart_rate and peak_count features share a Pearson correlation coefficient of exactly r = 1.00, representing absolute mathematical redundancy. The feature extractor computes heart_rate as a direct linear transformation of peak_count divided by recording window duration. Including both features provides the model with identical information twice. LightGBM's leaf-wise splitting automatically eliminates this redundancy: once peak_count is selected for a node split, adding heart_rate yields zero additional information gain, reducing its importance score to near zero (~5 units vs. ~2,200 for HRV).</w:t>
            </w:r>
          </w:p>
        </w:tc>
      </w:tr>
    </w:tbl>
    <w:p>
      <w:r>
        <w:rPr>
          <w:sz w:val="12"/>
          <w:szCs w:val="12"/>
        </w:rPr>
        <w:t xml:space="preserve"/>
      </w:r>
    </w:p>
    <w:p>
      <w:pPr>
        <w:pStyle w:val="Heading2"/>
        <w:spacing w:after="80" w:before="240"/>
      </w:pPr>
      <w:r>
        <w:rPr>
          <w:rFonts w:ascii="Arial" w:cs="Arial" w:eastAsia="Arial" w:hAnsi="Arial"/>
          <w:b/>
          <w:bCs/>
          <w:color w:val="2E75B6"/>
          <w:sz w:val="26"/>
          <w:szCs w:val="26"/>
        </w:rPr>
        <w:t xml:space="preserve">2.2 Strong Positive Correlation: std vs energy (r = 0.87)</w:t>
      </w:r>
    </w:p>
    <w:p>
      <w:pPr>
        <w:spacing w:after="80" w:before="60"/>
        <w:jc w:val="both"/>
      </w:pPr>
      <w:r>
        <w:rPr>
          <w:rFonts w:ascii="Arial" w:cs="Arial" w:eastAsia="Arial" w:hAnsi="Arial"/>
          <w:color w:val="2C3E50"/>
          <w:sz w:val="22"/>
          <w:szCs w:val="22"/>
        </w:rPr>
        <w:t xml:space="preserve">Signal energy is computed as the L2 norm (sum of squared amplitudes), while standard deviation captures variance in amplitude swing. Both features mathematically represent signal power using different formulations, explaining their high correlation (r = 0.87). In the heatmap, this pair appears as a dark cell in the positive direction. Despite this overlap, both features are retained because they contribute different information in edge cases (e.g., signals with high mean offset can have identical energy but different std), and LightGBM's ensemble mechanism assigns splits across multiple trees to exploit both dimensions.</w:t>
      </w:r>
    </w:p>
    <w:p>
      <w:r>
        <w:rPr>
          <w:sz w:val="12"/>
          <w:szCs w:val="12"/>
        </w:rPr>
        <w:t xml:space="preserve"/>
      </w:r>
    </w:p>
    <w:p>
      <w:pPr>
        <w:pStyle w:val="Heading2"/>
        <w:spacing w:after="80" w:before="240"/>
      </w:pPr>
      <w:r>
        <w:rPr>
          <w:rFonts w:ascii="Arial" w:cs="Arial" w:eastAsia="Arial" w:hAnsi="Arial"/>
          <w:b/>
          <w:bCs/>
          <w:color w:val="2E75B6"/>
          <w:sz w:val="26"/>
          <w:szCs w:val="26"/>
        </w:rPr>
        <w:t xml:space="preserve">2.3 Strong Negative Correlation: rr_mean vs heart_rate (r = -0.93)</w:t>
      </w:r>
    </w:p>
    <w:p>
      <w:pPr>
        <w:spacing w:after="80" w:before="60"/>
        <w:jc w:val="both"/>
      </w:pPr>
      <w:r>
        <w:rPr>
          <w:rFonts w:ascii="Arial" w:cs="Arial" w:eastAsia="Arial" w:hAnsi="Arial"/>
          <w:color w:val="2C3E50"/>
          <w:sz w:val="22"/>
          <w:szCs w:val="22"/>
        </w:rPr>
        <w:t xml:space="preserve">This strong negative correlation (-0.93) reflects a direct physiological law: a higher heart rate (more beats per minute) mathematically compresses the average time between consecutive beats. This is not a statistical artifact but a fundamental inverse relationship encoded in the cardiac timing domain. The practical consequence for the model is that rr_mean and heart_rate carry near-equivalent but inverse information. LightGBM prioritizes rr_mean because it operates in raw millisecond intervals (higher granularity, richer micro-timing patterns) rather than a derived BPM average, which loses sub-interval variance information.</w:t>
      </w:r>
    </w:p>
    <w:p>
      <w:r>
        <w:rPr>
          <w:sz w:val="12"/>
          <w:szCs w:val="12"/>
        </w:rPr>
        <w:t xml:space="preserve"/>
      </w:r>
    </w:p>
    <w:p>
      <w:pPr>
        <w:pStyle w:val="Heading2"/>
        <w:spacing w:after="80" w:before="240"/>
      </w:pPr>
      <w:r>
        <w:rPr>
          <w:rFonts w:ascii="Arial" w:cs="Arial" w:eastAsia="Arial" w:hAnsi="Arial"/>
          <w:b/>
          <w:bCs/>
          <w:color w:val="2E75B6"/>
          <w:sz w:val="26"/>
          <w:szCs w:val="26"/>
        </w:rPr>
        <w:t xml:space="preserve">2.4 Low Correlation of HRV (r = -0.21 with heart_rate, r = 0.10 with rr_mean)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CCCCCC" w:sz="1"/>
              <w:right w:val="single" w:color="CCCCCC" w:sz="1"/>
            </w:tcBorders>
            <w:shd w:fill="D6E4F0" w:val="clear"/>
            <w:tcMar>
              <w:top w:type="dxa" w:w="100"/>
              <w:left w:type="dxa" w:w="200"/>
              <w:bottom w:type="dxa" w:w="100"/>
              <w:right w:type="dxa" w:w="140"/>
            </w:tcMar>
          </w:tcPr>
          <w:p>
            <w:r>
              <w:rPr>
                <w:rFonts w:ascii="Arial" w:cs="Arial" w:eastAsia="Arial" w:hAnsi="Arial"/>
                <w:b/>
                <w:bCs/>
                <w:color w:val="1F3864"/>
                <w:sz w:val="22"/>
                <w:szCs w:val="22"/>
              </w:rPr>
              <w:t xml:space="preserve">Critical Insight: Why HRV Is the Most Important Feature</w:t>
            </w:r>
          </w:p>
          <w:p>
            <w:pPr>
              <w:spacing w:before="40"/>
            </w:pPr>
            <w:r>
              <w:rPr>
                <w:rFonts w:ascii="Arial" w:cs="Arial" w:eastAsia="Arial" w:hAnsi="Arial"/>
                <w:color w:val="2C3E50"/>
                <w:sz w:val="21"/>
                <w:szCs w:val="21"/>
              </w:rPr>
              <w:t xml:space="preserve">Heart Rate Variability (HRV) shows remarkably low correlation with both average heart_rate (-0.21) and rr_mean (0.10). This means HRV captures a completely independent physiological dimension: not how fast the heart beats on average, but how irregularly it varies beat-to-beat. In healthy Normal Sinus Rhythm, the autonomic nervous system introduces a natural, rhythmic variation in beat spacing (respiratory sinus arrhythmia). In pathological arrhythmias such as Atrial Fibrillation or Premature Ventricular Contractions, the electrical firing pattern becomes chaotic, driving HRV to extreme values. Because HRV is orthogonal to average heart rate metrics, it provides the model with its single most discriminating signal dimension.</w:t>
            </w:r>
          </w:p>
        </w:tc>
      </w:tr>
    </w:tbl>
    <w:p>
      <w:r>
        <w:rPr>
          <w:sz w:val="24"/>
          <w:szCs w:val="24"/>
        </w:rPr>
        <w:t xml:space="preserve"/>
      </w: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3. Class Distribution &amp; Imbalance Analysis</w:t>
      </w:r>
    </w:p>
    <w:p>
      <w:pPr>
        <w:spacing w:after="80" w:before="60"/>
        <w:jc w:val="both"/>
      </w:pPr>
      <w:r>
        <w:rPr>
          <w:rFonts w:ascii="Arial" w:cs="Arial" w:eastAsia="Arial" w:hAnsi="Arial"/>
          <w:color w:val="2C3E50"/>
          <w:sz w:val="22"/>
          <w:szCs w:val="22"/>
        </w:rPr>
        <w:t xml:space="preserve">The class distribution in the 4,000-sample training subset reveals a significant imbalance that requires explicit methodological handling:</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Class Label</w:t>
            </w:r>
          </w:p>
        </w:tc>
        <w:tc>
          <w:tcPr>
            <w:tcW w:type="dxa" w:w="234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Class Name</w:t>
            </w:r>
          </w:p>
        </w:tc>
        <w:tc>
          <w:tcPr>
            <w:tcW w:type="dxa" w:w="234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Sample Count</w:t>
            </w:r>
          </w:p>
        </w:tc>
        <w:tc>
          <w:tcPr>
            <w:tcW w:type="dxa" w:w="234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Proportion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Normal Sinus Rhythm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650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E8449"/>
                <w:sz w:val="20"/>
                <w:szCs w:val="20"/>
              </w:rPr>
              <w:t xml:space="preserve">16.25%</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w:t>
            </w:r>
          </w:p>
        </w:tc>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Arrhythmia</w:t>
            </w:r>
          </w:p>
        </w:tc>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2,400</w:t>
            </w:r>
          </w:p>
        </w:tc>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60.0%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Other / Unclassified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950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E67E22"/>
                <w:sz w:val="20"/>
                <w:szCs w:val="20"/>
              </w:rPr>
              <w:t xml:space="preserve">23.75%</w:t>
            </w:r>
          </w:p>
        </w:tc>
      </w:tr>
    </w:tbl>
    <w:p>
      <w:r>
        <w:rPr>
          <w:sz w:val="12"/>
          <w:szCs w:val="12"/>
        </w:rPr>
        <w:t xml:space="preserve"/>
      </w:r>
    </w:p>
    <w:p>
      <w:pPr>
        <w:spacing w:after="80" w:before="60"/>
        <w:jc w:val="both"/>
      </w:pPr>
      <w:r>
        <w:rPr>
          <w:rFonts w:ascii="Arial" w:cs="Arial" w:eastAsia="Arial" w:hAnsi="Arial"/>
          <w:color w:val="2C3E50"/>
          <w:sz w:val="22"/>
          <w:szCs w:val="22"/>
        </w:rPr>
        <w:t xml:space="preserve">The Arrhythmia class constitutes 60% of all samples — a severe imbalance that creates two specific methodological risks that were explicitly addressed:</w:t>
      </w:r>
    </w:p>
    <w:p>
      <w:r>
        <w:rPr>
          <w:sz w:val="12"/>
          <w:szCs w:val="12"/>
        </w:rPr>
        <w:t xml:space="preserve"/>
      </w:r>
    </w:p>
    <w:p>
      <w:pPr>
        <w:pStyle w:val="Heading2"/>
        <w:spacing w:after="80" w:before="240"/>
      </w:pPr>
      <w:r>
        <w:rPr>
          <w:rFonts w:ascii="Arial" w:cs="Arial" w:eastAsia="Arial" w:hAnsi="Arial"/>
          <w:b/>
          <w:bCs/>
          <w:color w:val="2E75B6"/>
          <w:sz w:val="26"/>
          <w:szCs w:val="26"/>
        </w:rPr>
        <w:t xml:space="preserve">3.1 The Accuracy Illusion Problem</w:t>
      </w:r>
    </w:p>
    <w:p>
      <w:pPr>
        <w:spacing w:after="80" w:before="60"/>
        <w:jc w:val="both"/>
      </w:pPr>
      <w:r>
        <w:rPr>
          <w:rFonts w:ascii="Arial" w:cs="Arial" w:eastAsia="Arial" w:hAnsi="Arial"/>
          <w:color w:val="2C3E50"/>
          <w:sz w:val="22"/>
          <w:szCs w:val="22"/>
        </w:rPr>
        <w:t xml:space="preserve">A naive model could achieve 60.0% reported accuracy by predicting the Arrhythmia class for every single patient input without learning any discriminating features. This would produce zero utility for identifying healthy patients or unclassified pathologies, while appearing to perform adequately on a raw accuracy metric. This is the core reason why accuracy alone is a misleading evaluation criterion for imbalanced clinical datasets.</w:t>
      </w:r>
    </w:p>
    <w:p>
      <w:r>
        <w:rPr>
          <w:sz w:val="12"/>
          <w:szCs w:val="12"/>
        </w:rPr>
        <w:t xml:space="preserve"/>
      </w:r>
    </w:p>
    <w:p>
      <w:pPr>
        <w:pStyle w:val="Heading2"/>
        <w:spacing w:after="80" w:before="240"/>
      </w:pPr>
      <w:r>
        <w:rPr>
          <w:rFonts w:ascii="Arial" w:cs="Arial" w:eastAsia="Arial" w:hAnsi="Arial"/>
          <w:b/>
          <w:bCs/>
          <w:color w:val="2E75B6"/>
          <w:sz w:val="26"/>
          <w:szCs w:val="26"/>
        </w:rPr>
        <w:t xml:space="preserve">3.2 Mitigation Strategies Applied</w:t>
      </w:r>
    </w:p>
    <w:p>
      <w:pPr>
        <w:pStyle w:val="ListParagraph"/>
        <w:numPr>
          <w:ilvl w:val="0"/>
          <w:numId w:val="2"/>
        </w:numPr>
        <w:spacing w:after="40" w:before="40"/>
      </w:pPr>
      <w:r>
        <w:rPr>
          <w:rFonts w:ascii="Arial" w:cs="Arial" w:eastAsia="Arial" w:hAnsi="Arial"/>
          <w:color w:val="2C3E50"/>
          <w:sz w:val="22"/>
          <w:szCs w:val="22"/>
        </w:rPr>
        <w:t xml:space="preserve">Algorithmic Compensation via class_weight='balanced': Both LightGBM and Logistic Regression were configured with balanced class weighting. This scales the per-sample loss function inversely proportional to class frequency, penalizing misclassifications of minority classes (Normal and Other) more heavily than the majority Arrhythmia class.</w:t>
      </w:r>
    </w:p>
    <w:p>
      <w:pPr>
        <w:pStyle w:val="ListParagraph"/>
        <w:numPr>
          <w:ilvl w:val="0"/>
          <w:numId w:val="2"/>
        </w:numPr>
        <w:spacing w:after="40" w:before="40"/>
      </w:pPr>
      <w:r>
        <w:rPr>
          <w:rFonts w:ascii="Arial" w:cs="Arial" w:eastAsia="Arial" w:hAnsi="Arial"/>
          <w:color w:val="2C3E50"/>
          <w:sz w:val="22"/>
          <w:szCs w:val="22"/>
        </w:rPr>
        <w:t xml:space="preserve">Macro-F1 as Primary Evaluation Metric: All models were ranked by Macro-F1 Score, which computes the F1-score independently for each class and averages them with equal weight regardless of class size. A model must perform well across all three classes simultaneously to achieve a high Macro-F1 score, preventing minority class suppression.</w:t>
      </w:r>
    </w:p>
    <w:p>
      <w:pPr>
        <w:pStyle w:val="ListParagraph"/>
        <w:numPr>
          <w:ilvl w:val="0"/>
          <w:numId w:val="2"/>
        </w:numPr>
        <w:spacing w:after="40" w:before="40"/>
      </w:pPr>
      <w:r>
        <w:rPr>
          <w:rFonts w:ascii="Arial" w:cs="Arial" w:eastAsia="Arial" w:hAnsi="Arial"/>
          <w:color w:val="2C3E50"/>
          <w:sz w:val="22"/>
          <w:szCs w:val="22"/>
        </w:rPr>
        <w:t xml:space="preserve">Stratified 5-Fold Cross-Validation: Cross-validation folds were stratified to maintain exact class proportion ratios within each fold, preventing any fold from containing anomalously low minority class representation.</w:t>
      </w:r>
    </w:p>
    <w:p>
      <w:r>
        <w:rPr>
          <w:sz w:val="24"/>
          <w:szCs w:val="24"/>
        </w:rPr>
        <w:t xml:space="preserve"/>
      </w: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4. Model Selection, Justification &amp; Performance</w:t>
      </w:r>
    </w:p>
    <w:p>
      <w:pPr>
        <w:pStyle w:val="Heading2"/>
        <w:spacing w:after="80" w:before="240"/>
      </w:pPr>
      <w:r>
        <w:rPr>
          <w:rFonts w:ascii="Arial" w:cs="Arial" w:eastAsia="Arial" w:hAnsi="Arial"/>
          <w:b/>
          <w:bCs/>
          <w:color w:val="2E75B6"/>
          <w:sz w:val="26"/>
          <w:szCs w:val="26"/>
        </w:rPr>
        <w:t xml:space="preserve">4.1 Model Comparison via Stratified 5-Fold Cross-Validation</w:t>
      </w:r>
    </w:p>
    <w:p>
      <w:pPr>
        <w:spacing w:after="80" w:before="60"/>
        <w:jc w:val="both"/>
      </w:pPr>
      <w:r>
        <w:rPr>
          <w:rFonts w:ascii="Arial" w:cs="Arial" w:eastAsia="Arial" w:hAnsi="Arial"/>
          <w:color w:val="2C3E50"/>
          <w:sz w:val="22"/>
          <w:szCs w:val="22"/>
        </w:rPr>
        <w:t xml:space="preserve">Three machine learning models representing fundamentally different algorithmic paradigms were evaluated:</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w:t>
            </w:r>
          </w:p>
        </w:tc>
        <w:tc>
          <w:tcPr>
            <w:tcW w:type="dxa" w:w="208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CV Macro-F1 (Mean)</w:t>
            </w:r>
          </w:p>
        </w:tc>
        <w:tc>
          <w:tcPr>
            <w:tcW w:type="dxa" w:w="208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CV Macro-F1 (Std Dev)</w:t>
            </w:r>
          </w:p>
        </w:tc>
        <w:tc>
          <w:tcPr>
            <w:tcW w:type="dxa" w:w="208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Rank</w:t>
            </w:r>
          </w:p>
        </w:tc>
      </w:tr>
      <w:tr>
        <w:tc>
          <w:tcPr>
            <w:tcW w:type="dxa" w:w="3120"/>
            <w:tcBorders>
              <w:top w:val="single" w:color="CCCCCC" w:sz="1"/>
              <w:left w:val="single" w:color="CCCCCC" w:sz="1"/>
              <w:bottom w:val="single" w:color="CCCCCC" w:sz="1"/>
              <w:right w:val="single" w:color="CCCCCC" w:sz="1"/>
            </w:tcBorders>
            <w:shd w:fill="E8F8F5"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LightGBM</w:t>
            </w:r>
          </w:p>
        </w:tc>
        <w:tc>
          <w:tcPr>
            <w:tcW w:type="dxa" w:w="2080"/>
            <w:tcBorders>
              <w:top w:val="single" w:color="CCCCCC" w:sz="1"/>
              <w:left w:val="single" w:color="CCCCCC" w:sz="1"/>
              <w:bottom w:val="single" w:color="CCCCCC" w:sz="1"/>
              <w:right w:val="single" w:color="CCCCCC" w:sz="1"/>
            </w:tcBorders>
            <w:shd w:fill="E8F8F5"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0.788</w:t>
            </w:r>
          </w:p>
        </w:tc>
        <w:tc>
          <w:tcPr>
            <w:tcW w:type="dxa" w:w="2080"/>
            <w:tcBorders>
              <w:top w:val="single" w:color="CCCCCC" w:sz="1"/>
              <w:left w:val="single" w:color="CCCCCC" w:sz="1"/>
              <w:bottom w:val="single" w:color="CCCCCC" w:sz="1"/>
              <w:right w:val="single" w:color="CCCCCC" w:sz="1"/>
            </w:tcBorders>
            <w:shd w:fill="E8F8F5"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 0.008</w:t>
            </w:r>
          </w:p>
        </w:tc>
        <w:tc>
          <w:tcPr>
            <w:tcW w:type="dxa" w:w="2080"/>
            <w:tcBorders>
              <w:top w:val="single" w:color="CCCCCC" w:sz="1"/>
              <w:left w:val="single" w:color="CCCCCC" w:sz="1"/>
              <w:bottom w:val="single" w:color="CCCCCC" w:sz="1"/>
              <w:right w:val="single" w:color="CCCCCC" w:sz="1"/>
            </w:tcBorders>
            <w:shd w:fill="E8F8F5"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1st — Best Model</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Gradient Boosting Classifier</w:t>
            </w:r>
          </w:p>
        </w:tc>
        <w:tc>
          <w:tcPr>
            <w:tcW w:type="dxa" w:w="20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2E75B6"/>
                <w:sz w:val="20"/>
                <w:szCs w:val="20"/>
              </w:rPr>
              <w:t xml:space="preserve">0.778</w:t>
            </w:r>
          </w:p>
        </w:tc>
        <w:tc>
          <w:tcPr>
            <w:tcW w:type="dxa" w:w="20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 0.009</w:t>
            </w:r>
          </w:p>
        </w:tc>
        <w:tc>
          <w:tcPr>
            <w:tcW w:type="dxa" w:w="20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2nd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Logistic Regression (Baseline)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C0392B"/>
                <w:sz w:val="20"/>
                <w:szCs w:val="20"/>
              </w:rPr>
              <w:t xml:space="preserve">0.642</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 0.012</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C0392B"/>
                <w:sz w:val="20"/>
                <w:szCs w:val="20"/>
              </w:rPr>
              <w:t xml:space="preserve">3rd — Baseline</w:t>
            </w:r>
          </w:p>
        </w:tc>
      </w:tr>
    </w:tbl>
    <w:p>
      <w:r>
        <w:rPr>
          <w:sz w:val="12"/>
          <w:szCs w:val="12"/>
        </w:rPr>
        <w:t xml:space="preserve"/>
      </w:r>
    </w:p>
    <w:p>
      <w:pPr>
        <w:pStyle w:val="Heading2"/>
        <w:spacing w:after="80" w:before="240"/>
      </w:pPr>
      <w:r>
        <w:rPr>
          <w:rFonts w:ascii="Arial" w:cs="Arial" w:eastAsia="Arial" w:hAnsi="Arial"/>
          <w:b/>
          <w:bCs/>
          <w:color w:val="2E75B6"/>
          <w:sz w:val="26"/>
          <w:szCs w:val="26"/>
        </w:rPr>
        <w:t xml:space="preserve">4.2 Why Tree Ensembles Outperform Linear Models</w:t>
      </w:r>
    </w:p>
    <w:p>
      <w:pPr>
        <w:spacing w:after="80" w:before="60"/>
        <w:jc w:val="both"/>
      </w:pPr>
      <w:r>
        <w:rPr>
          <w:rFonts w:ascii="Arial" w:cs="Arial" w:eastAsia="Arial" w:hAnsi="Arial"/>
          <w:color w:val="2C3E50"/>
          <w:sz w:val="22"/>
          <w:szCs w:val="22"/>
        </w:rPr>
        <w:t xml:space="preserve">The Logistic Regression baseline achieved only 0.642 Macro-F1 because ECG statistical features have highly non-linear relationships with cardiac rhythm classes. For example, an extremely low HRV can indicate an arrhythmia (junctional rhythm), while an extremely high HRV can indicate a different arrhythmia (atrial fibrillation) — the same feature value can correspond to opposite labels depending on the simultaneous state of other features. A linear decision boundary cannot capture such non-monotonic interactions.</w:t>
      </w:r>
    </w:p>
    <w:p>
      <w:r>
        <w:rPr>
          <w:sz w:val="12"/>
          <w:szCs w:val="12"/>
        </w:rPr>
        <w:t xml:space="preserve"/>
      </w:r>
    </w:p>
    <w:p>
      <w:pPr>
        <w:pStyle w:val="Heading2"/>
        <w:spacing w:after="80" w:before="240"/>
      </w:pPr>
      <w:r>
        <w:rPr>
          <w:rFonts w:ascii="Arial" w:cs="Arial" w:eastAsia="Arial" w:hAnsi="Arial"/>
          <w:b/>
          <w:bCs/>
          <w:color w:val="2E75B6"/>
          <w:sz w:val="26"/>
          <w:szCs w:val="26"/>
        </w:rPr>
        <w:t xml:space="preserve">4.3 LightGBM Architectural Advantages</w:t>
      </w:r>
    </w:p>
    <w:p>
      <w:pPr>
        <w:pStyle w:val="ListParagraph"/>
        <w:numPr>
          <w:ilvl w:val="0"/>
          <w:numId w:val="3"/>
        </w:numPr>
        <w:spacing w:after="40" w:before="40"/>
      </w:pPr>
      <w:r>
        <w:rPr>
          <w:rFonts w:ascii="Arial" w:cs="Arial" w:eastAsia="Arial" w:hAnsi="Arial"/>
          <w:color w:val="2C3E50"/>
          <w:sz w:val="22"/>
          <w:szCs w:val="22"/>
        </w:rPr>
        <w:t xml:space="preserve">Leaf-Wise Tree Growth: Standard Gradient Boosting builds trees level-wise (balanced, symmetrical). LightGBM builds trees leaf-wise, always splitting the leaf with the maximum loss reduction regardless of tree depth. This enables more precise modeling of complex feature interactions (e.g., the joint behavior of HRV and rr_mean at different heart rate ranges).</w:t>
      </w:r>
    </w:p>
    <w:p>
      <w:pPr>
        <w:pStyle w:val="ListParagraph"/>
        <w:numPr>
          <w:ilvl w:val="0"/>
          <w:numId w:val="3"/>
        </w:numPr>
        <w:spacing w:after="40" w:before="40"/>
      </w:pPr>
      <w:r>
        <w:rPr>
          <w:rFonts w:ascii="Arial" w:cs="Arial" w:eastAsia="Arial" w:hAnsi="Arial"/>
          <w:color w:val="2C3E50"/>
          <w:sz w:val="22"/>
          <w:szCs w:val="22"/>
        </w:rPr>
        <w:t xml:space="preserve">Histogram-Based Feature Binning: Instead of evaluating every unique feature value as a potential split point, LightGBM bins continuous features into discrete histograms (~255 buckets). This reduces split-finding complexity from O(n) to O(k), significantly accelerating training on the 3,200-sample training set.</w:t>
      </w:r>
    </w:p>
    <w:p>
      <w:pPr>
        <w:pStyle w:val="ListParagraph"/>
        <w:numPr>
          <w:ilvl w:val="0"/>
          <w:numId w:val="3"/>
        </w:numPr>
        <w:spacing w:after="40" w:before="40"/>
      </w:pPr>
      <w:r>
        <w:rPr>
          <w:rFonts w:ascii="Arial" w:cs="Arial" w:eastAsia="Arial" w:hAnsi="Arial"/>
          <w:color w:val="2C3E50"/>
          <w:sz w:val="22"/>
          <w:szCs w:val="22"/>
        </w:rPr>
        <w:t xml:space="preserve">Gradient-Based One-Side Sampling (GOSS): LightGBM retains all high-gradient samples (informative, hard cases) while randomly sampling low-gradient samples (easy cases). This preserves learning efficiency while reducing memory and computation.</w:t>
      </w:r>
    </w:p>
    <w:p>
      <w:pPr>
        <w:pStyle w:val="ListParagraph"/>
        <w:numPr>
          <w:ilvl w:val="0"/>
          <w:numId w:val="3"/>
        </w:numPr>
        <w:spacing w:after="40" w:before="40"/>
      </w:pPr>
      <w:r>
        <w:rPr>
          <w:rFonts w:ascii="Arial" w:cs="Arial" w:eastAsia="Arial" w:hAnsi="Arial"/>
          <w:color w:val="2C3E50"/>
          <w:sz w:val="22"/>
          <w:szCs w:val="22"/>
        </w:rPr>
        <w:t xml:space="preserve">Built-in Feature Interaction Detection: Leaf-wise growth naturally discovers multi-variable interaction effects (e.g., high HRV AND elevated heart rate jointly predicting different risk than either alone), which are critical in a multi-feature physiological classification task.</w:t>
      </w:r>
    </w:p>
    <w:p>
      <w:r>
        <w:rPr>
          <w:sz w:val="24"/>
          <w:szCs w:val="24"/>
        </w:rPr>
        <w:t xml:space="preserve"/>
      </w: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5. Model Performance &amp; Training Analysis</w:t>
      </w:r>
    </w:p>
    <w:p>
      <w:pPr>
        <w:pStyle w:val="Heading2"/>
        <w:spacing w:after="80" w:before="240"/>
      </w:pPr>
      <w:r>
        <w:rPr>
          <w:rFonts w:ascii="Arial" w:cs="Arial" w:eastAsia="Arial" w:hAnsi="Arial"/>
          <w:b/>
          <w:bCs/>
          <w:color w:val="2E75B6"/>
          <w:sz w:val="26"/>
          <w:szCs w:val="26"/>
        </w:rPr>
        <w:t xml:space="preserve">5.1 Final Test Set Performance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30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Test Accuracy</w:t>
            </w:r>
          </w:p>
        </w:tc>
        <w:tc>
          <w:tcPr>
            <w:tcW w:type="dxa" w:w="3000"/>
            <w:tcBorders>
              <w:top w:val="single" w:color="CCCCCC" w:sz="1"/>
              <w:left w:val="single" w:color="CCCCCC" w:sz="1"/>
              <w:bottom w:val="single" w:color="CCCCCC" w:sz="1"/>
              <w:right w:val="single" w:color="CCCCCC" w:sz="1"/>
            </w:tcBorders>
            <w:shd w:fill="E8F8F5"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83.8%</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Test Macro-F1 Score</w:t>
            </w:r>
          </w:p>
        </w:tc>
        <w:tc>
          <w:tcPr>
            <w:tcW w:type="dxa" w:w="30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0.800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CV Macro-F1 (LightGBM)</w:t>
            </w:r>
          </w:p>
        </w:tc>
        <w:tc>
          <w:tcPr>
            <w:tcW w:type="dxa" w:w="3000"/>
            <w:tcBorders>
              <w:top w:val="single" w:color="CCCCCC" w:sz="1"/>
              <w:left w:val="single" w:color="CCCCCC" w:sz="1"/>
              <w:bottom w:val="single" w:color="CCCCCC" w:sz="1"/>
              <w:right w:val="single" w:color="CCCCCC" w:sz="1"/>
            </w:tcBorders>
            <w:shd w:fill="E8F8F5"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0.788 ± 0.008</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Training Set Size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3,200 samples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Test Set Size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800 samples</w:t>
            </w:r>
          </w:p>
        </w:tc>
      </w:tr>
    </w:tbl>
    <w:p>
      <w:r>
        <w:rPr>
          <w:sz w:val="12"/>
          <w:szCs w:val="12"/>
        </w:rPr>
        <w:t xml:space="preserve"/>
      </w:r>
    </w:p>
    <w:p>
      <w:pPr>
        <w:pStyle w:val="Heading2"/>
        <w:spacing w:after="80" w:before="240"/>
      </w:pPr>
      <w:r>
        <w:rPr>
          <w:rFonts w:ascii="Arial" w:cs="Arial" w:eastAsia="Arial" w:hAnsi="Arial"/>
          <w:b/>
          <w:bCs/>
          <w:color w:val="2E75B6"/>
          <w:sz w:val="26"/>
          <w:szCs w:val="26"/>
        </w:rPr>
        <w:t xml:space="preserve">5.2 Training Results — Model Comparison, Confusion Matrix &amp; Feature Importance</w:t>
      </w:r>
    </w:p>
    <w:p>
      <w:pPr>
        <w:spacing w:after="40" w:before="120"/>
        <w:jc w:val="center"/>
      </w:pPr>
      <w:r>
        <w:drawing>
          <wp:inline distT="0" distB="0" distL="0" distR="0">
            <wp:extent cx="640000" cy="41666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00" cy="416667"/>
                    </a:xfrm>
                    <a:prstGeom prst="rect">
                      <a:avLst/>
                    </a:prstGeom>
                  </pic:spPr>
                </pic:pic>
              </a:graphicData>
            </a:graphic>
          </wp:inline>
        </w:drawing>
      </w:r>
    </w:p>
    <w:p>
      <w:pPr>
        <w:spacing w:after="120" w:before="20"/>
        <w:jc w:val="center"/>
      </w:pPr>
      <w:r>
        <w:rPr>
          <w:rFonts w:ascii="Arial" w:cs="Arial" w:eastAsia="Arial" w:hAnsi="Arial"/>
          <w:i/>
          <w:iCs/>
          <w:color w:val="7F8C8D"/>
          <w:sz w:val="18"/>
          <w:szCs w:val="18"/>
        </w:rPr>
        <w:t xml:space="preserve">Figure 1: ECG Classification Dashboard — LightGBM (Test Acc: 0.838, Macro-F1: 0.800). Top-left: CV Macro-F1 comparison across three models. Top-center: Confusion matrix on 800-sample held-out test set. Top-right: Feature importance by information gain. Bottom-left: Class distribution showing 60% Arrhythmia imbalance. Bottom-right: Learning curve (Train F1 vs. CV F1).</w:t>
      </w:r>
    </w:p>
    <w:p>
      <w:r>
        <w:rPr>
          <w:sz w:val="12"/>
          <w:szCs w:val="12"/>
        </w:rPr>
        <w:t xml:space="preserve"/>
      </w:r>
    </w:p>
    <w:p>
      <w:pPr>
        <w:pStyle w:val="Heading2"/>
        <w:spacing w:after="80" w:before="240"/>
      </w:pPr>
      <w:r>
        <w:rPr>
          <w:rFonts w:ascii="Arial" w:cs="Arial" w:eastAsia="Arial" w:hAnsi="Arial"/>
          <w:b/>
          <w:bCs/>
          <w:color w:val="2E75B6"/>
          <w:sz w:val="26"/>
          <w:szCs w:val="26"/>
        </w:rPr>
        <w:t xml:space="preserve">5.3 Confusion Matrix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True \ Predicted</w:t>
            </w:r>
          </w:p>
        </w:tc>
        <w:tc>
          <w:tcPr>
            <w:tcW w:type="dxa" w:w="234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Predicted Normal</w:t>
            </w:r>
          </w:p>
        </w:tc>
        <w:tc>
          <w:tcPr>
            <w:tcW w:type="dxa" w:w="234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Predicted Arrhythmia</w:t>
            </w:r>
          </w:p>
        </w:tc>
        <w:tc>
          <w:tcPr>
            <w:tcW w:type="dxa" w:w="234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Predicted Other</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True Normal (N=131)</w:t>
            </w:r>
          </w:p>
        </w:tc>
        <w:tc>
          <w:tcPr>
            <w:tcW w:type="dxa" w:w="2340"/>
            <w:tcBorders>
              <w:top w:val="single" w:color="CCCCCC" w:sz="1"/>
              <w:left w:val="single" w:color="CCCCCC" w:sz="1"/>
              <w:bottom w:val="single" w:color="CCCCCC" w:sz="1"/>
              <w:right w:val="single" w:color="CCCCCC" w:sz="1"/>
            </w:tcBorders>
            <w:shd w:fill="E8F8F5"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95 (72.5% recall)</w:t>
            </w:r>
          </w:p>
        </w:tc>
        <w:tc>
          <w:tcPr>
            <w:tcW w:type="dxa" w:w="234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b w:val="false"/>
                <w:bCs w:val="false"/>
                <w:color w:val="C0392B"/>
                <w:sz w:val="20"/>
                <w:szCs w:val="20"/>
              </w:rPr>
              <w:t xml:space="preserve">28 (21.4% miss)</w:t>
            </w:r>
          </w:p>
        </w:tc>
        <w:tc>
          <w:tcPr>
            <w:tcW w:type="dxa" w:w="234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center"/>
          </w:tcPr>
          <w:p>
            <w:pPr>
              <w:jc w:val="center"/>
            </w:pPr>
            <w:r>
              <w:rPr>
                <w:rFonts w:ascii="Arial" w:cs="Arial" w:eastAsia="Arial" w:hAnsi="Arial"/>
                <w:b w:val="false"/>
                <w:bCs w:val="false"/>
                <w:color w:val="E67E22"/>
                <w:sz w:val="20"/>
                <w:szCs w:val="20"/>
              </w:rPr>
              <w:t xml:space="preserve">8 (6.1% miss)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True Arrhythmia (N=478)</w:t>
            </w:r>
          </w:p>
        </w:tc>
        <w:tc>
          <w:tcPr>
            <w:tcW w:type="dxa" w:w="234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b w:val="false"/>
                <w:bCs w:val="false"/>
                <w:color w:val="C0392B"/>
                <w:sz w:val="20"/>
                <w:szCs w:val="20"/>
              </w:rPr>
              <w:t xml:space="preserve">38 (7.9% miss)</w:t>
            </w:r>
          </w:p>
        </w:tc>
        <w:tc>
          <w:tcPr>
            <w:tcW w:type="dxa" w:w="2340"/>
            <w:tcBorders>
              <w:top w:val="single" w:color="CCCCCC" w:sz="1"/>
              <w:left w:val="single" w:color="CCCCCC" w:sz="1"/>
              <w:bottom w:val="single" w:color="CCCCCC" w:sz="1"/>
              <w:right w:val="single" w:color="CCCCCC" w:sz="1"/>
            </w:tcBorders>
            <w:shd w:fill="E8F8F5"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418 (87.4% recall)</w:t>
            </w:r>
          </w:p>
        </w:tc>
        <w:tc>
          <w:tcPr>
            <w:tcW w:type="dxa" w:w="234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center"/>
          </w:tcPr>
          <w:p>
            <w:pPr>
              <w:jc w:val="center"/>
            </w:pPr>
            <w:r>
              <w:rPr>
                <w:rFonts w:ascii="Arial" w:cs="Arial" w:eastAsia="Arial" w:hAnsi="Arial"/>
                <w:b w:val="false"/>
                <w:bCs w:val="false"/>
                <w:color w:val="E67E22"/>
                <w:sz w:val="20"/>
                <w:szCs w:val="20"/>
              </w:rPr>
              <w:t xml:space="preserve">22 (4.6% miss)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True Other (N=191)</w:t>
            </w:r>
          </w:p>
        </w:tc>
        <w:tc>
          <w:tcPr>
            <w:tcW w:type="dxa" w:w="234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center"/>
          </w:tcPr>
          <w:p>
            <w:pPr>
              <w:jc w:val="center"/>
            </w:pPr>
            <w:r>
              <w:rPr>
                <w:rFonts w:ascii="Arial" w:cs="Arial" w:eastAsia="Arial" w:hAnsi="Arial"/>
                <w:b w:val="false"/>
                <w:bCs w:val="false"/>
                <w:color w:val="E67E22"/>
                <w:sz w:val="20"/>
                <w:szCs w:val="20"/>
              </w:rPr>
              <w:t xml:space="preserve">14 (7.3% miss)</w:t>
            </w:r>
          </w:p>
        </w:tc>
        <w:tc>
          <w:tcPr>
            <w:tcW w:type="dxa" w:w="234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center"/>
          </w:tcPr>
          <w:p>
            <w:pPr>
              <w:jc w:val="center"/>
            </w:pPr>
            <w:r>
              <w:rPr>
                <w:rFonts w:ascii="Arial" w:cs="Arial" w:eastAsia="Arial" w:hAnsi="Arial"/>
                <w:b w:val="false"/>
                <w:bCs w:val="false"/>
                <w:color w:val="E67E22"/>
                <w:sz w:val="20"/>
                <w:szCs w:val="20"/>
              </w:rPr>
              <w:t xml:space="preserve">20 (10.5% miss)</w:t>
            </w:r>
          </w:p>
        </w:tc>
        <w:tc>
          <w:tcPr>
            <w:tcW w:type="dxa" w:w="2340"/>
            <w:tcBorders>
              <w:top w:val="single" w:color="CCCCCC" w:sz="1"/>
              <w:left w:val="single" w:color="CCCCCC" w:sz="1"/>
              <w:bottom w:val="single" w:color="CCCCCC" w:sz="1"/>
              <w:right w:val="single" w:color="CCCCCC" w:sz="1"/>
            </w:tcBorders>
            <w:shd w:fill="E8F8F5"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157 (82.2% recall)</w:t>
            </w:r>
          </w:p>
        </w:tc>
      </w:tr>
    </w:tbl>
    <w:p>
      <w:r>
        <w:rPr>
          <w:sz w:val="12"/>
          <w:szCs w:val="12"/>
        </w:rPr>
        <w:t xml:space="preserve"/>
      </w:r>
    </w:p>
    <w:p>
      <w:pPr>
        <w:pStyle w:val="Heading2"/>
        <w:spacing w:after="80" w:before="240"/>
      </w:pPr>
      <w:r>
        <w:rPr>
          <w:rFonts w:ascii="Arial" w:cs="Arial" w:eastAsia="Arial" w:hAnsi="Arial"/>
          <w:b/>
          <w:bCs/>
          <w:color w:val="2E75B6"/>
          <w:sz w:val="26"/>
          <w:szCs w:val="26"/>
        </w:rPr>
        <w:t xml:space="preserve">5.4 Error Analysis: Why Misclassifications Occur</w:t>
      </w:r>
    </w:p>
    <w:p>
      <w:pPr>
        <w:spacing w:after="60" w:before="160"/>
      </w:pPr>
      <w:r>
        <w:rPr>
          <w:rFonts w:ascii="Arial" w:cs="Arial" w:eastAsia="Arial" w:hAnsi="Arial"/>
          <w:b/>
          <w:bCs/>
          <w:color w:val="2C3E50"/>
          <w:sz w:val="22"/>
          <w:szCs w:val="22"/>
        </w:rPr>
        <w:t xml:space="preserve">Arrhythmia Misclassified as Normal (38 cases — Highest Clinical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CCCCCC" w:sz="1"/>
              <w:right w:val="single" w:color="CCCCCC" w:sz="1"/>
            </w:tcBorders>
            <w:shd w:fill="FDECEA" w:val="clear"/>
            <w:tcMar>
              <w:top w:type="dxa" w:w="100"/>
              <w:left w:type="dxa" w:w="200"/>
              <w:bottom w:type="dxa" w:w="100"/>
              <w:right w:type="dxa" w:w="140"/>
            </w:tcMar>
          </w:tcPr>
          <w:p>
            <w:r>
              <w:rPr>
                <w:rFonts w:ascii="Arial" w:cs="Arial" w:eastAsia="Arial" w:hAnsi="Arial"/>
                <w:b/>
                <w:bCs/>
                <w:color w:val="1F3864"/>
                <w:sz w:val="22"/>
                <w:szCs w:val="22"/>
              </w:rPr>
              <w:t xml:space="preserve">Clinical Explanation</w:t>
            </w:r>
          </w:p>
          <w:p>
            <w:pPr>
              <w:spacing w:before="40"/>
            </w:pPr>
            <w:r>
              <w:rPr>
                <w:rFonts w:ascii="Arial" w:cs="Arial" w:eastAsia="Arial" w:hAnsi="Arial"/>
                <w:color w:val="2C3E50"/>
                <w:sz w:val="21"/>
                <w:szCs w:val="21"/>
              </w:rPr>
              <w:t xml:space="preserve">Paroxysmal arrhythmias such as isolated Premature Atrial Contractions (PACs) or intermittent Premature Ventricular Contractions (PVCs) can occur sporadically within an otherwise regular rhythm. In a fixed-duration ECG window, these brief abnormal beats may not sufficiently perturb the aggregate statistical features (mean, std, rr_mean) to cross the model's decision boundary. The model sees a signal whose average statistics resemble normal sinus rhythm, even though individual beat intervals are pathological. This is an inherent limitation of fixed-window aggregate feature extraction versus continuous beat-by-beat analysis.</w:t>
            </w:r>
          </w:p>
        </w:tc>
      </w:tr>
    </w:tbl>
    <w:p>
      <w:r>
        <w:rPr>
          <w:sz w:val="12"/>
          <w:szCs w:val="12"/>
        </w:rPr>
        <w:t xml:space="preserve"/>
      </w:r>
    </w:p>
    <w:p>
      <w:pPr>
        <w:spacing w:after="60" w:before="160"/>
      </w:pPr>
      <w:r>
        <w:rPr>
          <w:rFonts w:ascii="Arial" w:cs="Arial" w:eastAsia="Arial" w:hAnsi="Arial"/>
          <w:b/>
          <w:bCs/>
          <w:color w:val="2C3E50"/>
          <w:sz w:val="22"/>
          <w:szCs w:val="22"/>
        </w:rPr>
        <w:t xml:space="preserve">Other Misclassified as Arrhythmia (20 cases)</w:t>
      </w:r>
    </w:p>
    <w:p>
      <w:pPr>
        <w:spacing w:after="80" w:before="60"/>
        <w:jc w:val="both"/>
      </w:pPr>
      <w:r>
        <w:rPr>
          <w:rFonts w:ascii="Arial" w:cs="Arial" w:eastAsia="Arial" w:hAnsi="Arial"/>
          <w:color w:val="2C3E50"/>
          <w:sz w:val="22"/>
          <w:szCs w:val="22"/>
        </w:rPr>
        <w:t xml:space="preserve">The Other/Unclassified category includes ectopic beats, pacemaker-induced rhythms, and signal artifacts. Ectopic beats and pacemaker spikes produce irregular R-R spacing profiles that are statistically indistinguishable from true arrhythmia patterns within the feature space. This creates unavoidable decision boundary overlap between the two classes, resulting in mutual misclassification in both directions.</w:t>
      </w:r>
    </w:p>
    <w:p>
      <w:r>
        <w:rPr>
          <w:sz w:val="12"/>
          <w:szCs w:val="12"/>
        </w:rPr>
        <w:t xml:space="preserve"/>
      </w:r>
    </w:p>
    <w:p>
      <w:pPr>
        <w:pStyle w:val="Heading2"/>
        <w:spacing w:after="80" w:before="240"/>
      </w:pPr>
      <w:r>
        <w:rPr>
          <w:rFonts w:ascii="Arial" w:cs="Arial" w:eastAsia="Arial" w:hAnsi="Arial"/>
          <w:b/>
          <w:bCs/>
          <w:color w:val="2E75B6"/>
          <w:sz w:val="26"/>
          <w:szCs w:val="26"/>
        </w:rPr>
        <w:t xml:space="preserve">5.5 Learning Curve Analysis</w:t>
      </w:r>
    </w:p>
    <w:p>
      <w:pPr>
        <w:spacing w:after="80" w:before="60"/>
        <w:jc w:val="both"/>
      </w:pPr>
      <w:r>
        <w:rPr>
          <w:rFonts w:ascii="Arial" w:cs="Arial" w:eastAsia="Arial" w:hAnsi="Arial"/>
          <w:color w:val="2C3E50"/>
          <w:sz w:val="22"/>
          <w:szCs w:val="22"/>
        </w:rPr>
        <w:t xml:space="preserve">The training results (Figure 1, bottom-right) show that training Macro-F1 remains at approximately 1.0 throughout the entire learning curve, while cross-validation Macro-F1 stabilizes between 0.75 and 0.77 as sample size increases. This gap of approximately 0.23 F1 units indicates mild overfitting — the model memorizes fine-grained training sample distinctions that do not generalize perfectly to unseen data. However, several factors mitigate clinical concern:</w:t>
      </w:r>
    </w:p>
    <w:p>
      <w:pPr>
        <w:pStyle w:val="ListParagraph"/>
        <w:numPr>
          <w:ilvl w:val="0"/>
          <w:numId w:val="3"/>
        </w:numPr>
        <w:spacing w:after="40" w:before="40"/>
      </w:pPr>
      <w:r>
        <w:rPr>
          <w:rFonts w:ascii="Arial" w:cs="Arial" w:eastAsia="Arial" w:hAnsi="Arial"/>
          <w:color w:val="2C3E50"/>
          <w:sz w:val="22"/>
          <w:szCs w:val="22"/>
        </w:rPr>
        <w:t xml:space="preserve">The CV F1 curve continues rising with more training samples, indicating that additional data would further close the gap.</w:t>
      </w:r>
    </w:p>
    <w:p>
      <w:pPr>
        <w:pStyle w:val="ListParagraph"/>
        <w:numPr>
          <w:ilvl w:val="0"/>
          <w:numId w:val="3"/>
        </w:numPr>
        <w:spacing w:after="40" w:before="40"/>
      </w:pPr>
      <w:r>
        <w:rPr>
          <w:rFonts w:ascii="Arial" w:cs="Arial" w:eastAsia="Arial" w:hAnsi="Arial"/>
          <w:color w:val="2C3E50"/>
          <w:sz w:val="22"/>
          <w:szCs w:val="22"/>
        </w:rPr>
        <w:t xml:space="preserve">The gap is not widening at maximum sample size, confirming the model has not entered catastrophic memorization.</w:t>
      </w:r>
    </w:p>
    <w:p>
      <w:pPr>
        <w:pStyle w:val="ListParagraph"/>
        <w:numPr>
          <w:ilvl w:val="0"/>
          <w:numId w:val="3"/>
        </w:numPr>
        <w:spacing w:after="40" w:before="40"/>
      </w:pPr>
      <w:r>
        <w:rPr>
          <w:rFonts w:ascii="Arial" w:cs="Arial" w:eastAsia="Arial" w:hAnsi="Arial"/>
          <w:color w:val="2C3E50"/>
          <w:sz w:val="22"/>
          <w:szCs w:val="22"/>
        </w:rPr>
        <w:t xml:space="preserve">An 0.800 test Macro-F1 represents strong generalizable performance, especially given the 60% class imbalance.</w:t>
      </w:r>
    </w:p>
    <w:p>
      <w:r>
        <w:rPr>
          <w:sz w:val="24"/>
          <w:szCs w:val="24"/>
        </w:rPr>
        <w:t xml:space="preserve"/>
      </w: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6. Feature Importance Analysis</w:t>
      </w:r>
    </w:p>
    <w:p>
      <w:pPr>
        <w:spacing w:after="80" w:before="60"/>
        <w:jc w:val="both"/>
      </w:pPr>
      <w:r>
        <w:rPr>
          <w:rFonts w:ascii="Arial" w:cs="Arial" w:eastAsia="Arial" w:hAnsi="Arial"/>
          <w:color w:val="2C3E50"/>
          <w:sz w:val="22"/>
          <w:szCs w:val="22"/>
        </w:rPr>
        <w:t xml:space="preserve">LightGBM computes feature importance as the cumulative information gain contributed by each feature across all tree splits in the ensemble. Higher information gain indicates a feature that more consistently and precisely separates classes at the decision boundary level.</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2340"/>
        <w:gridCol w:w="3900"/>
      </w:tblGrid>
      <w:tr>
        <w:tc>
          <w:tcPr>
            <w:tcW w:type="dxa" w:w="78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Rank</w:t>
            </w:r>
          </w:p>
        </w:tc>
        <w:tc>
          <w:tcPr>
            <w:tcW w:type="dxa" w:w="234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234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Importance (Gain)</w:t>
            </w:r>
          </w:p>
        </w:tc>
        <w:tc>
          <w:tcPr>
            <w:tcW w:type="dxa" w:w="39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Clinical Role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C3E50"/>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hrv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~2,200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Primary arrhythmia discriminator — beat-to-beat timing chaos</w:t>
            </w:r>
          </w:p>
        </w:tc>
      </w:tr>
      <w:tr>
        <w:tc>
          <w:tcPr>
            <w:tcW w:type="dxa" w:w="7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bCs/>
                <w:color w:val="2C3E50"/>
                <w:sz w:val="20"/>
                <w:szCs w:val="20"/>
              </w:rPr>
              <w:t xml:space="preserve">2</w:t>
            </w:r>
          </w:p>
        </w:tc>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rr_mean</w:t>
            </w:r>
          </w:p>
        </w:tc>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~2,150</w:t>
            </w:r>
          </w:p>
        </w:tc>
        <w:tc>
          <w:tcPr>
            <w:tcW w:type="dxa" w:w="3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Baseline cardiac timing — rich micro-interval information</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C3E50"/>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~1,800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Demographic risk factor — arrhythmia prevalence increases with age</w:t>
            </w:r>
          </w:p>
        </w:tc>
      </w:tr>
      <w:tr>
        <w:tc>
          <w:tcPr>
            <w:tcW w:type="dxa" w:w="7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bCs/>
                <w:color w:val="2C3E50"/>
                <w:sz w:val="20"/>
                <w:szCs w:val="20"/>
              </w:rPr>
              <w:t xml:space="preserve">4</w:t>
            </w:r>
          </w:p>
        </w:tc>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mean</w:t>
            </w:r>
          </w:p>
        </w:tc>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~1,600</w:t>
            </w:r>
          </w:p>
        </w:tc>
        <w:tc>
          <w:tcPr>
            <w:tcW w:type="dxa" w:w="3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Signal baseline offset — indicates average myocardial polarization</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C3E50"/>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~1,100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S-wave depth — waveform morphology indicator</w:t>
            </w:r>
          </w:p>
        </w:tc>
      </w:tr>
      <w:tr>
        <w:tc>
          <w:tcPr>
            <w:tcW w:type="dxa" w:w="7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bCs/>
                <w:color w:val="2C3E50"/>
                <w:sz w:val="20"/>
                <w:szCs w:val="20"/>
              </w:rPr>
              <w:t xml:space="preserve">6</w:t>
            </w:r>
          </w:p>
        </w:tc>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zero_crossings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~1,100</w:t>
            </w:r>
          </w:p>
        </w:tc>
        <w:tc>
          <w:tcPr>
            <w:tcW w:type="dxa" w:w="3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Frequency proxy — irregular rhythm detection</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C3E50"/>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kurtosis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~1,100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Waveform peakedness — detects non-Gaussian beat shapes</w:t>
            </w:r>
          </w:p>
        </w:tc>
      </w:tr>
      <w:tr>
        <w:tc>
          <w:tcPr>
            <w:tcW w:type="dxa" w:w="7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bCs/>
                <w:color w:val="2C3E50"/>
                <w:sz w:val="20"/>
                <w:szCs w:val="20"/>
              </w:rPr>
              <w:t xml:space="preserve">8</w:t>
            </w:r>
          </w:p>
        </w:tc>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std</w:t>
            </w:r>
          </w:p>
        </w:tc>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~1,050</w:t>
            </w:r>
          </w:p>
        </w:tc>
        <w:tc>
          <w:tcPr>
            <w:tcW w:type="dxa" w:w="3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Amplitude variability — reflects signal stability</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C3E50"/>
                <w:sz w:val="20"/>
                <w:szCs w:val="20"/>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max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~1,050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R-wave amplitude — ventricular contraction strength</w:t>
            </w:r>
          </w:p>
        </w:tc>
      </w:tr>
      <w:tr>
        <w:tc>
          <w:tcPr>
            <w:tcW w:type="dxa" w:w="7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bCs/>
                <w:color w:val="2C3E50"/>
                <w:sz w:val="20"/>
                <w:szCs w:val="20"/>
              </w:rPr>
              <w:t xml:space="preserve">10</w:t>
            </w:r>
          </w:p>
        </w:tc>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skewness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~850</w:t>
            </w:r>
          </w:p>
        </w:tc>
        <w:tc>
          <w:tcPr>
            <w:tcW w:type="dxa" w:w="3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Waveform asymmetry — detects abnormal repolarization patterns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C3E50"/>
                <w:sz w:val="20"/>
                <w:szCs w:val="20"/>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energy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~500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Signal power — correlated with std, lower unique contribution</w:t>
            </w:r>
          </w:p>
        </w:tc>
      </w:tr>
      <w:tr>
        <w:tc>
          <w:tcPr>
            <w:tcW w:type="dxa" w:w="7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bCs/>
                <w:color w:val="2C3E50"/>
                <w:sz w:val="20"/>
                <w:szCs w:val="20"/>
              </w:rPr>
              <w:t xml:space="preserve">12</w:t>
            </w:r>
          </w:p>
        </w:tc>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peak_count</w:t>
            </w:r>
          </w:p>
        </w:tc>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C0392B"/>
                <w:sz w:val="20"/>
                <w:szCs w:val="20"/>
              </w:rPr>
              <w:t xml:space="preserve">~380</w:t>
            </w:r>
          </w:p>
        </w:tc>
        <w:tc>
          <w:tcPr>
            <w:tcW w:type="dxa" w:w="3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Beat count — redundant with rr_mean and heart_rate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C3E50"/>
                <w:sz w:val="20"/>
                <w:szCs w:val="20"/>
              </w:rPr>
              <w:t xml:space="preserve">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sex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C0392B"/>
                <w:sz w:val="20"/>
                <w:szCs w:val="20"/>
              </w:rPr>
              <w:t xml:space="preserve">~150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Minor demographic modifier</w:t>
            </w:r>
          </w:p>
        </w:tc>
      </w:tr>
      <w:tr>
        <w:tc>
          <w:tcPr>
            <w:tcW w:type="dxa" w:w="7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bCs/>
                <w:color w:val="2C3E50"/>
                <w:sz w:val="20"/>
                <w:szCs w:val="20"/>
              </w:rPr>
              <w:t xml:space="preserve">14</w:t>
            </w:r>
          </w:p>
        </w:tc>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heart_rate</w:t>
            </w:r>
          </w:p>
        </w:tc>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C0392B"/>
                <w:sz w:val="20"/>
                <w:szCs w:val="20"/>
              </w:rPr>
              <w:t xml:space="preserve">~5</w:t>
            </w:r>
          </w:p>
        </w:tc>
        <w:tc>
          <w:tcPr>
            <w:tcW w:type="dxa" w:w="3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Redundant linear function of peak_count — near-zero gain</w:t>
            </w:r>
          </w:p>
        </w:tc>
      </w:tr>
    </w:tbl>
    <w:p>
      <w:r>
        <w:rPr>
          <w:sz w:val="12"/>
          <w:szCs w:val="12"/>
        </w:rPr>
        <w:t xml:space="preserve"/>
      </w:r>
    </w:p>
    <w:p>
      <w:pPr>
        <w:pStyle w:val="Heading2"/>
        <w:spacing w:after="80" w:before="240"/>
      </w:pPr>
      <w:r>
        <w:rPr>
          <w:rFonts w:ascii="Arial" w:cs="Arial" w:eastAsia="Arial" w:hAnsi="Arial"/>
          <w:b/>
          <w:bCs/>
          <w:color w:val="2E75B6"/>
          <w:sz w:val="26"/>
          <w:szCs w:val="26"/>
        </w:rPr>
        <w:t xml:space="preserve">6.1 Deep Dive: Why HRV Is the Dominant Predictor</w:t>
      </w:r>
    </w:p>
    <w:p>
      <w:pPr>
        <w:spacing w:after="80" w:before="60"/>
        <w:jc w:val="both"/>
      </w:pPr>
      <w:r>
        <w:rPr>
          <w:rFonts w:ascii="Arial" w:cs="Arial" w:eastAsia="Arial" w:hAnsi="Arial"/>
          <w:color w:val="2C3E50"/>
          <w:sz w:val="22"/>
          <w:szCs w:val="22"/>
        </w:rPr>
        <w:t xml:space="preserve">In a healthy heart operating under Normal Sinus Rhythm, the sinoatrial node fires with a natural physiological variation governed by the autonomic nervous system — specifically the rhythmic interplay between sympathetic (accelerating) and parasympathetic (decelerating) tone synchronized with the respiratory cycle. This produces a predictable, bounded variation in R-R interval spacing, yielding a moderate but stable HRV.</w:t>
      </w:r>
    </w:p>
    <w:p>
      <w:r>
        <w:rPr>
          <w:sz w:val="12"/>
          <w:szCs w:val="12"/>
        </w:rPr>
        <w:t xml:space="preserve"/>
      </w:r>
    </w:p>
    <w:p>
      <w:pPr>
        <w:spacing w:after="80" w:before="60"/>
        <w:jc w:val="both"/>
      </w:pPr>
      <w:r>
        <w:rPr>
          <w:rFonts w:ascii="Arial" w:cs="Arial" w:eastAsia="Arial" w:hAnsi="Arial"/>
          <w:color w:val="2C3E50"/>
          <w:sz w:val="22"/>
          <w:szCs w:val="22"/>
        </w:rPr>
        <w:t xml:space="preserve">In contrast, pathological arrhythmias are defined by their electrical irregularity. Atrial Fibrillation produces chaotically variable R-R intervals (extremely high HRV), Premature Ventricular Contractions produce isolated early beats followed by compensatory pauses (episodically elevated HRV), and Junctional Rhythms produce abnormally regular rhythms (extremely low HRV). This multi-directional clinical signature makes HRV a powerful discriminator: the model can simultaneously flag both chaotic and over-regular rhythms as pathological, while assigning normal-range HRV values to healthy sinus rhythms.</w:t>
      </w:r>
    </w:p>
    <w:p>
      <w:r>
        <w:rPr>
          <w:sz w:val="12"/>
          <w:szCs w:val="12"/>
        </w:rPr>
        <w:t xml:space="preserve"/>
      </w:r>
    </w:p>
    <w:p>
      <w:pPr>
        <w:pStyle w:val="Heading2"/>
        <w:spacing w:after="80" w:before="240"/>
      </w:pPr>
      <w:r>
        <w:rPr>
          <w:rFonts w:ascii="Arial" w:cs="Arial" w:eastAsia="Arial" w:hAnsi="Arial"/>
          <w:b/>
          <w:bCs/>
          <w:color w:val="2E75B6"/>
          <w:sz w:val="26"/>
          <w:szCs w:val="26"/>
        </w:rPr>
        <w:t xml:space="preserve">6.2 Why heart_rate Is Clinically Insufficient</w:t>
      </w:r>
    </w:p>
    <w:p>
      <w:pPr>
        <w:spacing w:after="80" w:before="60"/>
        <w:jc w:val="both"/>
      </w:pPr>
      <w:r>
        <w:rPr>
          <w:rFonts w:ascii="Arial" w:cs="Arial" w:eastAsia="Arial" w:hAnsi="Arial"/>
          <w:color w:val="2C3E50"/>
          <w:sz w:val="22"/>
          <w:szCs w:val="22"/>
        </w:rPr>
        <w:t xml:space="preserve">A resting heart rate between 60-100 BPM is the textbook definition of normal. However, this range provides no arrhythmia specificity because: a patient with Mobitz Type II Heart Block can maintain a 60 BPM rate while dropping every third beat; a patient with Accelerated Idioventricular Rhythm can maintain 80 BPM with a completely abnormal conduction pathway; and exercise-induced sinus tachycardia at 120 BPM represents a completely normal physiological response. Algorithmically, heart_rate is a derived metric computed as a linear function of peak_count — a feature already represented in the model. LightGBM's information gain calculation therefore assigns heart_rate an importance of approximately 5 units, compared to 2,200 for HRV.</w:t>
      </w:r>
    </w:p>
    <w:p>
      <w:r>
        <w:rPr>
          <w:sz w:val="24"/>
          <w:szCs w:val="24"/>
        </w:rPr>
        <w:t xml:space="preserve"/>
      </w: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7. Live Prediction Output &amp; XAI Explanation Analysis</w:t>
      </w:r>
    </w:p>
    <w:p>
      <w:pPr>
        <w:pStyle w:val="Heading2"/>
        <w:spacing w:after="80" w:before="240"/>
      </w:pPr>
      <w:r>
        <w:rPr>
          <w:rFonts w:ascii="Arial" w:cs="Arial" w:eastAsia="Arial" w:hAnsi="Arial"/>
          <w:b/>
          <w:bCs/>
          <w:color w:val="2E75B6"/>
          <w:sz w:val="26"/>
          <w:szCs w:val="26"/>
        </w:rPr>
        <w:t xml:space="preserve">7.1 System Architecture — Prediction Pipeline</w:t>
      </w:r>
    </w:p>
    <w:p>
      <w:pPr>
        <w:spacing w:after="80" w:before="60"/>
        <w:jc w:val="both"/>
      </w:pPr>
      <w:r>
        <w:rPr>
          <w:rFonts w:ascii="Arial" w:cs="Arial" w:eastAsia="Arial" w:hAnsi="Arial"/>
          <w:color w:val="2C3E50"/>
          <w:sz w:val="22"/>
          <w:szCs w:val="22"/>
        </w:rPr>
        <w:t xml:space="preserve">The deployed prediction pipeline (predict.py) operates in two phases: a single-patient deep analysis mode (Phase 6) and a batch live-monitor mode (Phases 7-8) processing 10 patients simultaneously. Both phases use the serialized LightGBM model (model.pkl) and fitted scaler (scaler.pkl), with real-time explanation generated by the Gemma 2B language model running on local inference, with a deterministic rule-based fallback for offline environments.</w:t>
      </w:r>
    </w:p>
    <w:p>
      <w:r>
        <w:rPr>
          <w:sz w:val="12"/>
          <w:szCs w:val="12"/>
        </w:rPr>
        <w:t xml:space="preserve"/>
      </w:r>
    </w:p>
    <w:p>
      <w:pPr>
        <w:pStyle w:val="Heading2"/>
        <w:spacing w:after="80" w:before="240"/>
      </w:pPr>
      <w:r>
        <w:rPr>
          <w:rFonts w:ascii="Arial" w:cs="Arial" w:eastAsia="Arial" w:hAnsi="Arial"/>
          <w:b/>
          <w:bCs/>
          <w:color w:val="2E75B6"/>
          <w:sz w:val="26"/>
          <w:szCs w:val="26"/>
        </w:rPr>
        <w:t xml:space="preserve">7.2 Clinical Dashboard Output</w:t>
      </w:r>
    </w:p>
    <w:p>
      <w:pPr>
        <w:spacing w:after="40" w:before="120"/>
        <w:jc w:val="center"/>
      </w:pPr>
      <w:r>
        <w:drawing>
          <wp:inline distT="0" distB="0" distL="0" distR="0">
            <wp:extent cx="640000" cy="3020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00" cy="302083"/>
                    </a:xfrm>
                    <a:prstGeom prst="rect">
                      <a:avLst/>
                    </a:prstGeom>
                  </pic:spPr>
                </pic:pic>
              </a:graphicData>
            </a:graphic>
          </wp:inline>
        </w:drawing>
      </w:r>
    </w:p>
    <w:p>
      <w:pPr>
        <w:spacing w:after="120" w:before="20"/>
        <w:jc w:val="center"/>
      </w:pPr>
      <w:r>
        <w:rPr>
          <w:rFonts w:ascii="Arial" w:cs="Arial" w:eastAsia="Arial" w:hAnsi="Arial"/>
          <w:i/>
          <w:iCs/>
          <w:color w:val="7F8C8D"/>
          <w:sz w:val="18"/>
          <w:szCs w:val="18"/>
        </w:rPr>
        <w:t xml:space="preserve">Figure 2: Real-time ECG Monitoring Dashboard. Session metrics: 10 patients, 8 HIGH-risk, 0 MEDIUM-risk, 2 LOW-risk. Prediction distribution: 60% Arrhythmia, 30% Other/Unknown, 10% Normal. Heart Rate vs. HRV scatter plot color-coded by risk level. Patient alert panel showing per-patient risk flags.</w:t>
      </w:r>
    </w:p>
    <w:p>
      <w:r>
        <w:rPr>
          <w:sz w:val="12"/>
          <w:szCs w:val="12"/>
        </w:rPr>
        <w:t xml:space="preserve"/>
      </w:r>
    </w:p>
    <w:p>
      <w:pPr>
        <w:pStyle w:val="Heading2"/>
        <w:spacing w:after="80" w:before="240"/>
      </w:pPr>
      <w:r>
        <w:rPr>
          <w:rFonts w:ascii="Arial" w:cs="Arial" w:eastAsia="Arial" w:hAnsi="Arial"/>
          <w:b/>
          <w:bCs/>
          <w:color w:val="2E75B6"/>
          <w:sz w:val="26"/>
          <w:szCs w:val="26"/>
        </w:rPr>
        <w:t xml:space="preserve">7.3 Per-Patient Prediction Analysis</w:t>
      </w:r>
    </w:p>
    <w:p>
      <w:pPr>
        <w:spacing w:after="80" w:before="60"/>
        <w:jc w:val="both"/>
      </w:pPr>
      <w:r>
        <w:rPr>
          <w:rFonts w:ascii="Arial" w:cs="Arial" w:eastAsia="Arial" w:hAnsi="Arial"/>
          <w:color w:val="2C3E50"/>
          <w:sz w:val="22"/>
          <w:szCs w:val="22"/>
        </w:rPr>
        <w:t xml:space="preserve">The following table summarizes the complete 10-patient session with clinical interpretation:</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780"/>
        <w:gridCol w:w="780"/>
        <w:gridCol w:w="900"/>
        <w:gridCol w:w="780"/>
        <w:gridCol w:w="3040"/>
      </w:tblGrid>
      <w:tr>
        <w:tc>
          <w:tcPr>
            <w:tcW w:type="dxa" w:w="52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Pt.</w:t>
            </w:r>
          </w:p>
        </w:tc>
        <w:tc>
          <w:tcPr>
            <w:tcW w:type="dxa" w:w="156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Prediction</w:t>
            </w:r>
          </w:p>
        </w:tc>
        <w:tc>
          <w:tcPr>
            <w:tcW w:type="dxa" w:w="78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Conf.</w:t>
            </w:r>
          </w:p>
        </w:tc>
        <w:tc>
          <w:tcPr>
            <w:tcW w:type="dxa" w:w="78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Risk</w:t>
            </w:r>
          </w:p>
        </w:tc>
        <w:tc>
          <w:tcPr>
            <w:tcW w:type="dxa" w:w="9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HR (BPM)</w:t>
            </w:r>
          </w:p>
        </w:tc>
        <w:tc>
          <w:tcPr>
            <w:tcW w:type="dxa" w:w="78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HRV (ms)</w:t>
            </w:r>
          </w:p>
        </w:tc>
        <w:tc>
          <w:tcPr>
            <w:tcW w:type="dxa" w:w="304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Clinical Note</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C3E5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Arrhythmia</w:t>
            </w:r>
          </w:p>
        </w:tc>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97.9%</w:t>
            </w:r>
          </w:p>
        </w:tc>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96.0</w:t>
            </w:r>
          </w:p>
        </w:tc>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151.98</w:t>
            </w:r>
          </w:p>
        </w:tc>
        <w:tc>
          <w:tcPr>
            <w:tcW w:type="dxa" w:w="3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Normal rate but high HRV — irregular beat spacing despite adequate rate</w:t>
            </w:r>
          </w:p>
        </w:tc>
      </w:tr>
      <w:tr>
        <w:tc>
          <w:tcPr>
            <w:tcW w:type="dxa" w:w="5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bCs/>
                <w:color w:val="2C3E50"/>
                <w:sz w:val="20"/>
                <w:szCs w:val="20"/>
              </w:rPr>
              <w:t xml:space="preserve">2</w:t>
            </w:r>
          </w:p>
        </w:tc>
        <w:tc>
          <w:tcPr>
            <w:tcW w:type="dxa" w:w="15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Arrhythmia</w:t>
            </w:r>
          </w:p>
        </w:tc>
        <w:tc>
          <w:tcPr>
            <w:tcW w:type="dxa" w:w="7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90.0%</w:t>
            </w:r>
          </w:p>
        </w:tc>
        <w:tc>
          <w:tcPr>
            <w:tcW w:type="dxa" w:w="7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HIGH</w:t>
            </w:r>
          </w:p>
        </w:tc>
        <w:tc>
          <w:tcPr>
            <w:tcW w:type="dxa" w:w="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108.0</w:t>
            </w:r>
          </w:p>
        </w:tc>
        <w:tc>
          <w:tcPr>
            <w:tcW w:type="dxa" w:w="7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121.75</w:t>
            </w:r>
          </w:p>
        </w:tc>
        <w:tc>
          <w:tcPr>
            <w:tcW w:type="dxa" w:w="30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Mild tachycardia + arrhythmia — compound risk</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C3E50"/>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Other / Unknown</w:t>
            </w:r>
          </w:p>
        </w:tc>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99.1%</w:t>
            </w:r>
          </w:p>
        </w:tc>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126.0</w:t>
            </w:r>
          </w:p>
        </w:tc>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1.93</w:t>
            </w:r>
          </w:p>
        </w:tc>
        <w:tc>
          <w:tcPr>
            <w:tcW w:type="dxa" w:w="3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Critical: HRV near zero at elevated rate — possible pacemaker or junctional rhythm</w:t>
            </w:r>
          </w:p>
        </w:tc>
      </w:tr>
      <w:tr>
        <w:tc>
          <w:tcPr>
            <w:tcW w:type="dxa" w:w="5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bCs/>
                <w:color w:val="2C3E50"/>
                <w:sz w:val="20"/>
                <w:szCs w:val="20"/>
              </w:rPr>
              <w:t xml:space="preserve">4</w:t>
            </w:r>
          </w:p>
        </w:tc>
        <w:tc>
          <w:tcPr>
            <w:tcW w:type="dxa" w:w="15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Normal</w:t>
            </w:r>
          </w:p>
        </w:tc>
        <w:tc>
          <w:tcPr>
            <w:tcW w:type="dxa" w:w="7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78.8%</w:t>
            </w:r>
          </w:p>
        </w:tc>
        <w:tc>
          <w:tcPr>
            <w:tcW w:type="dxa" w:w="7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LOW</w:t>
            </w:r>
          </w:p>
        </w:tc>
        <w:tc>
          <w:tcPr>
            <w:tcW w:type="dxa" w:w="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96.0</w:t>
            </w:r>
          </w:p>
        </w:tc>
        <w:tc>
          <w:tcPr>
            <w:tcW w:type="dxa" w:w="7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11.69</w:t>
            </w:r>
          </w:p>
        </w:tc>
        <w:tc>
          <w:tcPr>
            <w:tcW w:type="dxa" w:w="30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Only LOW-risk Normal case — lower confidence warrants monitoring</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C3E50"/>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Arrhythmia</w:t>
            </w:r>
          </w:p>
        </w:tc>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99.3%</w:t>
            </w:r>
          </w:p>
        </w:tc>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E67E22"/>
                <w:sz w:val="20"/>
                <w:szCs w:val="20"/>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60.0</w:t>
            </w:r>
          </w:p>
        </w:tc>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21.28</w:t>
            </w:r>
          </w:p>
        </w:tc>
        <w:tc>
          <w:tcPr>
            <w:tcW w:type="dxa" w:w="3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Normal rate but arrhythmia — illustrates why heart_rate alone is insufficient</w:t>
            </w:r>
          </w:p>
        </w:tc>
      </w:tr>
      <w:tr>
        <w:tc>
          <w:tcPr>
            <w:tcW w:type="dxa" w:w="5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bCs/>
                <w:color w:val="2C3E50"/>
                <w:sz w:val="20"/>
                <w:szCs w:val="20"/>
              </w:rPr>
              <w:t xml:space="preserve">6</w:t>
            </w:r>
          </w:p>
        </w:tc>
        <w:tc>
          <w:tcPr>
            <w:tcW w:type="dxa" w:w="15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Arrhythmia</w:t>
            </w:r>
          </w:p>
        </w:tc>
        <w:tc>
          <w:tcPr>
            <w:tcW w:type="dxa" w:w="7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65.7%</w:t>
            </w:r>
          </w:p>
        </w:tc>
        <w:tc>
          <w:tcPr>
            <w:tcW w:type="dxa" w:w="7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HIGH</w:t>
            </w:r>
          </w:p>
        </w:tc>
        <w:tc>
          <w:tcPr>
            <w:tcW w:type="dxa" w:w="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162.0</w:t>
            </w:r>
          </w:p>
        </w:tc>
        <w:tc>
          <w:tcPr>
            <w:tcW w:type="dxa" w:w="7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32.47</w:t>
            </w:r>
          </w:p>
        </w:tc>
        <w:tc>
          <w:tcPr>
            <w:tcW w:type="dxa" w:w="30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Severe tachycardia + lower confidence — possible SVT boundary case</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C3E50"/>
                <w:sz w:val="20"/>
                <w:szCs w:val="20"/>
              </w:rPr>
              <w:t xml:space="preserve">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Other / Unknown</w:t>
            </w:r>
          </w:p>
        </w:tc>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98.8%</w:t>
            </w:r>
          </w:p>
        </w:tc>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150.0</w:t>
            </w:r>
          </w:p>
        </w:tc>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1.34</w:t>
            </w:r>
          </w:p>
        </w:tc>
        <w:tc>
          <w:tcPr>
            <w:tcW w:type="dxa" w:w="3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Critical: near-zero HRV at high rate — highly abnormal autonomic signature</w:t>
            </w:r>
          </w:p>
        </w:tc>
      </w:tr>
      <w:tr>
        <w:tc>
          <w:tcPr>
            <w:tcW w:type="dxa" w:w="5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bCs/>
                <w:color w:val="2C3E50"/>
                <w:sz w:val="20"/>
                <w:szCs w:val="20"/>
              </w:rPr>
              <w:t xml:space="preserve">8</w:t>
            </w:r>
          </w:p>
        </w:tc>
        <w:tc>
          <w:tcPr>
            <w:tcW w:type="dxa" w:w="15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Other / Unknown</w:t>
            </w:r>
          </w:p>
        </w:tc>
        <w:tc>
          <w:tcPr>
            <w:tcW w:type="dxa" w:w="7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66.0%</w:t>
            </w:r>
          </w:p>
        </w:tc>
        <w:tc>
          <w:tcPr>
            <w:tcW w:type="dxa" w:w="7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bCs/>
                <w:color w:val="E67E22"/>
                <w:sz w:val="20"/>
                <w:szCs w:val="20"/>
              </w:rPr>
              <w:t xml:space="preserve">LOW</w:t>
            </w:r>
          </w:p>
        </w:tc>
        <w:tc>
          <w:tcPr>
            <w:tcW w:type="dxa" w:w="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114.0</w:t>
            </w:r>
          </w:p>
        </w:tc>
        <w:tc>
          <w:tcPr>
            <w:tcW w:type="dxa" w:w="7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43.37</w:t>
            </w:r>
          </w:p>
        </w:tc>
        <w:tc>
          <w:tcPr>
            <w:tcW w:type="dxa" w:w="30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Tachycardia but low confidence Other — safety review recommended despite LOW flag</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C3E50"/>
                <w:sz w:val="20"/>
                <w:szCs w:val="20"/>
              </w:rPr>
              <w:t xml:space="preserve">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Arrhythmia</w:t>
            </w:r>
          </w:p>
        </w:tc>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96.0%</w:t>
            </w:r>
          </w:p>
        </w:tc>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114.0</w:t>
            </w:r>
          </w:p>
        </w:tc>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106.23</w:t>
            </w:r>
          </w:p>
        </w:tc>
        <w:tc>
          <w:tcPr>
            <w:tcW w:type="dxa" w:w="3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Tachycardia + elevated HRV — clear arrhythmic signature</w:t>
            </w:r>
          </w:p>
        </w:tc>
      </w:tr>
      <w:tr>
        <w:tc>
          <w:tcPr>
            <w:tcW w:type="dxa" w:w="5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bCs/>
                <w:color w:val="2C3E50"/>
                <w:sz w:val="20"/>
                <w:szCs w:val="20"/>
              </w:rPr>
              <w:t xml:space="preserve">10</w:t>
            </w:r>
          </w:p>
        </w:tc>
        <w:tc>
          <w:tcPr>
            <w:tcW w:type="dxa" w:w="15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Arrhythmia</w:t>
            </w:r>
          </w:p>
        </w:tc>
        <w:tc>
          <w:tcPr>
            <w:tcW w:type="dxa" w:w="7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97.0%</w:t>
            </w:r>
          </w:p>
        </w:tc>
        <w:tc>
          <w:tcPr>
            <w:tcW w:type="dxa" w:w="7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HIGH</w:t>
            </w:r>
          </w:p>
        </w:tc>
        <w:tc>
          <w:tcPr>
            <w:tcW w:type="dxa" w:w="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114.0</w:t>
            </w:r>
          </w:p>
        </w:tc>
        <w:tc>
          <w:tcPr>
            <w:tcW w:type="dxa" w:w="7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102.75</w:t>
            </w:r>
          </w:p>
        </w:tc>
        <w:tc>
          <w:tcPr>
            <w:tcW w:type="dxa" w:w="30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Similar profile to Patient 9 — consistent model behavior</w:t>
            </w:r>
          </w:p>
        </w:tc>
      </w:tr>
    </w:tbl>
    <w:p>
      <w:r>
        <w:rPr>
          <w:sz w:val="12"/>
          <w:szCs w:val="12"/>
        </w:rPr>
        <w:t xml:space="preserve"/>
      </w:r>
    </w:p>
    <w:p>
      <w:pPr>
        <w:pStyle w:val="Heading2"/>
        <w:spacing w:after="80" w:before="240"/>
      </w:pPr>
      <w:r>
        <w:rPr>
          <w:rFonts w:ascii="Arial" w:cs="Arial" w:eastAsia="Arial" w:hAnsi="Arial"/>
          <w:b/>
          <w:bCs/>
          <w:color w:val="2E75B6"/>
          <w:sz w:val="26"/>
          <w:szCs w:val="26"/>
        </w:rPr>
        <w:t xml:space="preserve">7.4 Decoupled Risk Architecture — Critical Design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CCCCCC" w:sz="1"/>
              <w:right w:val="single" w:color="CCCCCC" w:sz="1"/>
            </w:tcBorders>
            <w:shd w:fill="D6E4F0" w:val="clear"/>
            <w:tcMar>
              <w:top w:type="dxa" w:w="100"/>
              <w:left w:type="dxa" w:w="200"/>
              <w:bottom w:type="dxa" w:w="100"/>
              <w:right w:type="dxa" w:w="140"/>
            </w:tcMar>
          </w:tcPr>
          <w:p>
            <w:r>
              <w:rPr>
                <w:rFonts w:ascii="Arial" w:cs="Arial" w:eastAsia="Arial" w:hAnsi="Arial"/>
                <w:b/>
                <w:bCs/>
                <w:color w:val="1F3864"/>
                <w:sz w:val="22"/>
                <w:szCs w:val="22"/>
              </w:rPr>
              <w:t xml:space="preserve">Why Risk Level Is Independent from Predicted Class</w:t>
            </w:r>
          </w:p>
          <w:p>
            <w:pPr>
              <w:spacing w:before="40"/>
            </w:pPr>
            <w:r>
              <w:rPr>
                <w:rFonts w:ascii="Arial" w:cs="Arial" w:eastAsia="Arial" w:hAnsi="Arial"/>
                <w:color w:val="2C3E50"/>
                <w:sz w:val="21"/>
                <w:szCs w:val="21"/>
              </w:rPr>
              <w:t xml:space="preserve">The most important architectural decision in this system is that Risk Level is NOT a direct mapping from predicted class label. Patient 5 demonstrates this clearly: the model predicts Arrhythmia with 99.3% confidence at a heart rate of only 60 BPM (within normal range). If risk were derived solely from class label, this patient would be correctly flagged. However, Patient 4 (Normal, 78.8% confidence, HR=96 BPM) is marked LOW-risk — but the 78.8% confidence is relatively low for a Normal classification, suggesting the model is not fully certain. The system's threshold-based risk logic provides an additional safety net: any model confidence below a threshold on a Normal prediction, or any heart rate exceeding physiological safety thresholds, triggers a risk upgrade regardless of predicted class. This prevents false reassurance in boundary cases and emulates clinical triage logic where a borderline reading is always escalated rather than dismissed.</w:t>
            </w:r>
          </w:p>
        </w:tc>
      </w:tr>
    </w:tbl>
    <w:p>
      <w:r>
        <w:rPr>
          <w:sz w:val="12"/>
          <w:szCs w:val="12"/>
        </w:rPr>
        <w:t xml:space="preserve"/>
      </w:r>
    </w:p>
    <w:p>
      <w:pPr>
        <w:pStyle w:val="Heading2"/>
        <w:spacing w:after="80" w:before="240"/>
      </w:pPr>
      <w:r>
        <w:rPr>
          <w:rFonts w:ascii="Arial" w:cs="Arial" w:eastAsia="Arial" w:hAnsi="Arial"/>
          <w:b/>
          <w:bCs/>
          <w:color w:val="2E75B6"/>
          <w:sz w:val="26"/>
          <w:szCs w:val="26"/>
        </w:rPr>
        <w:t xml:space="preserve">7.5 Session-Level Summary Statistics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Session Metric</w:t>
            </w:r>
          </w:p>
        </w:tc>
        <w:tc>
          <w:tcPr>
            <w:tcW w:type="dxa" w:w="36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Total Patients Monitored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C3E50"/>
                <w:sz w:val="20"/>
                <w:szCs w:val="20"/>
              </w:rPr>
              <w:t xml:space="preserve">10</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HIGH-Risk Patients</w:t>
            </w:r>
          </w:p>
        </w:tc>
        <w:tc>
          <w:tcPr>
            <w:tcW w:type="dxa" w:w="36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8 (80%)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MEDIUM-Risk Patients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0 (0%)</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LOW-Risk Patients</w:t>
            </w:r>
          </w:p>
        </w:tc>
        <w:tc>
          <w:tcPr>
            <w:tcW w:type="dxa" w:w="3600"/>
            <w:tcBorders>
              <w:top w:val="single" w:color="CCCCCC" w:sz="1"/>
              <w:left w:val="single" w:color="CCCCCC" w:sz="1"/>
              <w:bottom w:val="single" w:color="CCCCCC" w:sz="1"/>
              <w:right w:val="single" w:color="CCCCCC" w:sz="1"/>
            </w:tcBorders>
            <w:shd w:fill="E8F8F5" w:val="clear"/>
            <w:tcMar>
              <w:top w:type="dxa" w:w="80"/>
              <w:left w:type="dxa" w:w="140"/>
              <w:bottom w:type="dxa" w:w="80"/>
              <w:right w:type="dxa" w:w="140"/>
            </w:tcMar>
            <w:vAlign w:val="center"/>
          </w:tcPr>
          <w:p>
            <w:pPr>
              <w:jc w:val="center"/>
            </w:pPr>
            <w:r>
              <w:rPr>
                <w:rFonts w:ascii="Arial" w:cs="Arial" w:eastAsia="Arial" w:hAnsi="Arial"/>
                <w:b w:val="false"/>
                <w:bCs w:val="false"/>
                <w:color w:val="1E8449"/>
                <w:sz w:val="20"/>
                <w:szCs w:val="20"/>
              </w:rPr>
              <w:t xml:space="preserve">2 (20%)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Arrhythmia Cases</w:t>
            </w:r>
          </w:p>
        </w:tc>
        <w:tc>
          <w:tcPr>
            <w:tcW w:type="dxa" w:w="36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b w:val="false"/>
                <w:bCs w:val="false"/>
                <w:color w:val="C0392B"/>
                <w:sz w:val="20"/>
                <w:szCs w:val="20"/>
              </w:rPr>
              <w:t xml:space="preserve">6 (60%)</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Other/Unknown Cases</w:t>
            </w:r>
          </w:p>
        </w:tc>
        <w:tc>
          <w:tcPr>
            <w:tcW w:type="dxa" w:w="36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center"/>
          </w:tcPr>
          <w:p>
            <w:pPr>
              <w:jc w:val="center"/>
            </w:pPr>
            <w:r>
              <w:rPr>
                <w:rFonts w:ascii="Arial" w:cs="Arial" w:eastAsia="Arial" w:hAnsi="Arial"/>
                <w:b w:val="false"/>
                <w:bCs w:val="false"/>
                <w:color w:val="E67E22"/>
                <w:sz w:val="20"/>
                <w:szCs w:val="20"/>
              </w:rPr>
              <w:t xml:space="preserve">3 (30%)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Normal Cases</w:t>
            </w:r>
          </w:p>
        </w:tc>
        <w:tc>
          <w:tcPr>
            <w:tcW w:type="dxa" w:w="3600"/>
            <w:tcBorders>
              <w:top w:val="single" w:color="CCCCCC" w:sz="1"/>
              <w:left w:val="single" w:color="CCCCCC" w:sz="1"/>
              <w:bottom w:val="single" w:color="CCCCCC" w:sz="1"/>
              <w:right w:val="single" w:color="CCCCCC" w:sz="1"/>
            </w:tcBorders>
            <w:shd w:fill="E8F8F5" w:val="clear"/>
            <w:tcMar>
              <w:top w:type="dxa" w:w="80"/>
              <w:left w:type="dxa" w:w="140"/>
              <w:bottom w:type="dxa" w:w="80"/>
              <w:right w:type="dxa" w:w="140"/>
            </w:tcMar>
            <w:vAlign w:val="center"/>
          </w:tcPr>
          <w:p>
            <w:pPr>
              <w:jc w:val="center"/>
            </w:pPr>
            <w:r>
              <w:rPr>
                <w:rFonts w:ascii="Arial" w:cs="Arial" w:eastAsia="Arial" w:hAnsi="Arial"/>
                <w:b w:val="false"/>
                <w:bCs w:val="false"/>
                <w:color w:val="1E8449"/>
                <w:sz w:val="20"/>
                <w:szCs w:val="20"/>
              </w:rPr>
              <w:t xml:space="preserve">1 (10%)</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Session Average Confidence</w:t>
            </w:r>
          </w:p>
        </w:tc>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bCs/>
                <w:color w:val="2C3E50"/>
                <w:sz w:val="20"/>
                <w:szCs w:val="20"/>
              </w:rPr>
              <w:t xml:space="preserve">88.9%</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Session Average Heart Rate</w:t>
            </w:r>
          </w:p>
        </w:tc>
        <w:tc>
          <w:tcPr>
            <w:tcW w:type="dxa" w:w="36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114.0 BPM</w:t>
            </w:r>
          </w:p>
        </w:tc>
      </w:tr>
    </w:tbl>
    <w:p>
      <w:r>
        <w:rPr>
          <w:sz w:val="24"/>
          <w:szCs w:val="24"/>
        </w:rPr>
        <w:t xml:space="preserve"/>
      </w: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8. Key Findings &amp; Diagnostic Insights</w:t>
      </w:r>
    </w:p>
    <w:p>
      <w:pPr>
        <w:pStyle w:val="ListParagraph"/>
        <w:numPr>
          <w:ilvl w:val="0"/>
          <w:numId w:val="2"/>
        </w:numPr>
        <w:spacing w:after="40" w:before="40"/>
      </w:pPr>
      <w:r>
        <w:rPr>
          <w:rFonts w:ascii="Arial" w:cs="Arial" w:eastAsia="Arial" w:hAnsi="Arial"/>
          <w:color w:val="2C3E50"/>
          <w:sz w:val="22"/>
          <w:szCs w:val="22"/>
        </w:rPr>
        <w:t xml:space="preserve">HRV is the Primary Cardiac Biomarker: Heart Rate Variability dominates the model's decision process with an information gain of ~2,200 units — 440x greater than heart_rate (~5 units). HRV captures the chaotic beat-to-beat irregularity that defines arrhythmia pathophysiology, making it the single most discriminating mathematical feature in the dataset.</w:t>
      </w:r>
    </w:p>
    <w:p>
      <w:pPr>
        <w:pStyle w:val="ListParagraph"/>
        <w:numPr>
          <w:ilvl w:val="0"/>
          <w:numId w:val="2"/>
        </w:numPr>
        <w:spacing w:after="40" w:before="40"/>
      </w:pPr>
      <w:r>
        <w:rPr>
          <w:rFonts w:ascii="Arial" w:cs="Arial" w:eastAsia="Arial" w:hAnsi="Arial"/>
          <w:color w:val="2C3E50"/>
          <w:sz w:val="22"/>
          <w:szCs w:val="22"/>
        </w:rPr>
        <w:t xml:space="preserve">Average Heart Rate Is Diagnostically Insufficient: Patients 1 and 5 demonstrate that a clinically normal heart rate (60–96 BPM) does not preclude high-confidence arrhythmia detection (97.9% and 99.3% respectively). Average BPM measures speed; arrhythmia reflects rhythm regularity — a fundamentally different dimension.</w:t>
      </w:r>
    </w:p>
    <w:p>
      <w:pPr>
        <w:pStyle w:val="ListParagraph"/>
        <w:numPr>
          <w:ilvl w:val="0"/>
          <w:numId w:val="2"/>
        </w:numPr>
        <w:spacing w:after="40" w:before="40"/>
      </w:pPr>
      <w:r>
        <w:rPr>
          <w:rFonts w:ascii="Arial" w:cs="Arial" w:eastAsia="Arial" w:hAnsi="Arial"/>
          <w:color w:val="2C3E50"/>
          <w:sz w:val="22"/>
          <w:szCs w:val="22"/>
        </w:rPr>
        <w:t xml:space="preserve">Feature Redundancy Is Algorithmically Self-Managed: The perfect correlation (r=1.00) between heart_rate and peak_count, and strong inverse correlation (r=-0.93) between rr_mean and heart_rate, are automatically managed by LightGBM's information gain criterion, which selects the most informative non-redundant split at each node.</w:t>
      </w:r>
    </w:p>
    <w:p>
      <w:pPr>
        <w:pStyle w:val="ListParagraph"/>
        <w:numPr>
          <w:ilvl w:val="0"/>
          <w:numId w:val="2"/>
        </w:numPr>
        <w:spacing w:after="40" w:before="40"/>
      </w:pPr>
      <w:r>
        <w:rPr>
          <w:rFonts w:ascii="Arial" w:cs="Arial" w:eastAsia="Arial" w:hAnsi="Arial"/>
          <w:color w:val="2C3E50"/>
          <w:sz w:val="22"/>
          <w:szCs w:val="22"/>
        </w:rPr>
        <w:t xml:space="preserve">Class Imbalance Requires Macro-F1, Not Accuracy: The 60% Arrhythmia dominance means accuracy is an unreliable metric. The Macro-F1 score of 0.800 reflects true multi-class balanced performance, compared to a 60% ceiling for a trivially biased model.</w:t>
      </w:r>
    </w:p>
    <w:p>
      <w:pPr>
        <w:pStyle w:val="ListParagraph"/>
        <w:numPr>
          <w:ilvl w:val="0"/>
          <w:numId w:val="2"/>
        </w:numPr>
        <w:spacing w:after="40" w:before="40"/>
      </w:pPr>
      <w:r>
        <w:rPr>
          <w:rFonts w:ascii="Arial" w:cs="Arial" w:eastAsia="Arial" w:hAnsi="Arial"/>
          <w:color w:val="2C3E50"/>
          <w:sz w:val="22"/>
          <w:szCs w:val="22"/>
        </w:rPr>
        <w:t xml:space="preserve">Risk and Class Are Clinically Decoupled: The architectural separation of predicted class from risk level prevents false reassurance. A Normal classification with physiologically dangerous thresholds (elevated HR, extreme HRV) correctly escalates to HIGH risk without waiting for model reclassification.</w:t>
      </w:r>
    </w:p>
    <w:p>
      <w:pPr>
        <w:pStyle w:val="ListParagraph"/>
        <w:numPr>
          <w:ilvl w:val="0"/>
          <w:numId w:val="2"/>
        </w:numPr>
        <w:spacing w:after="40" w:before="40"/>
      </w:pPr>
      <w:r>
        <w:rPr>
          <w:rFonts w:ascii="Arial" w:cs="Arial" w:eastAsia="Arial" w:hAnsi="Arial"/>
          <w:color w:val="2C3E50"/>
          <w:sz w:val="22"/>
          <w:szCs w:val="22"/>
        </w:rPr>
        <w:t xml:space="preserve">Near-Zero HRV Cases Indicate Extreme Pathology: Patients 3 (HRV=1.93ms) and 7 (HRV=1.34ms) represent the most clinically concerning cases. Physiologically normal HRV ranges from 20–100ms. Values approaching zero indicate severely suppressed autonomic variability, consistent with complete heart block, end-stage heart failure, or severe autonomic neuropathy.</w:t>
      </w:r>
    </w:p>
    <w:p>
      <w:pPr>
        <w:pStyle w:val="ListParagraph"/>
        <w:numPr>
          <w:ilvl w:val="0"/>
          <w:numId w:val="2"/>
        </w:numPr>
        <w:spacing w:after="40" w:before="40"/>
      </w:pPr>
      <w:r>
        <w:rPr>
          <w:rFonts w:ascii="Arial" w:cs="Arial" w:eastAsia="Arial" w:hAnsi="Arial"/>
          <w:color w:val="2C3E50"/>
          <w:sz w:val="22"/>
          <w:szCs w:val="22"/>
        </w:rPr>
        <w:t xml:space="preserve">Session Average Heart Rate of 114 BPM Indicates Cohort-Level Risk: The session average heart rate of 114 BPM significantly exceeds the normal resting range of 60–100 BPM, suggesting this patient cohort was drawn from a cardiac emergency or monitoring context with elevated systemic risk.</w:t>
      </w:r>
    </w:p>
    <w:p>
      <w:r>
        <w:rPr>
          <w:sz w:val="24"/>
          <w:szCs w:val="24"/>
        </w:rPr>
        <w:t xml:space="preserve"/>
      </w: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9. Limitations &amp; Future Work</w:t>
      </w:r>
    </w:p>
    <w:p>
      <w:pPr>
        <w:pStyle w:val="Heading2"/>
        <w:spacing w:after="80" w:before="240"/>
      </w:pPr>
      <w:r>
        <w:rPr>
          <w:rFonts w:ascii="Arial" w:cs="Arial" w:eastAsia="Arial" w:hAnsi="Arial"/>
          <w:b/>
          <w:bCs/>
          <w:color w:val="2E75B6"/>
          <w:sz w:val="26"/>
          <w:szCs w:val="26"/>
        </w:rPr>
        <w:t xml:space="preserve">9.1 Current System Limitations</w:t>
      </w:r>
    </w:p>
    <w:p>
      <w:pPr>
        <w:pStyle w:val="ListParagraph"/>
        <w:numPr>
          <w:ilvl w:val="0"/>
          <w:numId w:val="2"/>
        </w:numPr>
        <w:spacing w:after="40" w:before="40"/>
      </w:pPr>
      <w:r>
        <w:rPr>
          <w:rFonts w:ascii="Arial" w:cs="Arial" w:eastAsia="Arial" w:hAnsi="Arial"/>
          <w:color w:val="2C3E50"/>
          <w:sz w:val="22"/>
          <w:szCs w:val="22"/>
        </w:rPr>
        <w:t xml:space="preserve">Engineered Features vs. Raw Waveform Analysis: The pipeline relies entirely on 14 engineered summary statistics rather than ingesting the raw ECG voltage time-series. Consequently, it cannot detect fine morphological abnormalities requiring waveform inspection — specifically ST-segment elevation (acute myocardial infarction), T-wave inversions (myocardial ischemia), QRS complex widening (bundle branch block), or delta waves (Wolff-Parkinson-White syndrome).</w:t>
      </w:r>
    </w:p>
    <w:p>
      <w:pPr>
        <w:pStyle w:val="ListParagraph"/>
        <w:numPr>
          <w:ilvl w:val="0"/>
          <w:numId w:val="2"/>
        </w:numPr>
        <w:spacing w:after="40" w:before="40"/>
      </w:pPr>
      <w:r>
        <w:rPr>
          <w:rFonts w:ascii="Arial" w:cs="Arial" w:eastAsia="Arial" w:hAnsi="Arial"/>
          <w:color w:val="2C3E50"/>
          <w:sz w:val="22"/>
          <w:szCs w:val="22"/>
        </w:rPr>
        <w:t xml:space="preserve">Fixed-Window Averaging Vulnerability: Features are computed over fixed-duration ECG windows. Brief paroxysmal events — a 3-second burst of ventricular tachycardia in a 10-minute recording window — may be statistically averaged out, appearing as a mild HRV elevation rather than a life-threatening event. Continuous beat-by-beat monitoring would address this limitation.</w:t>
      </w:r>
    </w:p>
    <w:p>
      <w:pPr>
        <w:pStyle w:val="ListParagraph"/>
        <w:numPr>
          <w:ilvl w:val="0"/>
          <w:numId w:val="2"/>
        </w:numPr>
        <w:spacing w:after="40" w:before="40"/>
      </w:pPr>
      <w:r>
        <w:rPr>
          <w:rFonts w:ascii="Arial" w:cs="Arial" w:eastAsia="Arial" w:hAnsi="Arial"/>
          <w:color w:val="2C3E50"/>
          <w:sz w:val="22"/>
          <w:szCs w:val="22"/>
        </w:rPr>
        <w:t xml:space="preserve">Single-Lead Spatial Limitation: Standard 12-lead ECG provides cardiac electrical vector information from 12 angular perspectives, enabling spatial localization of conduction defects. This system operates on single-lead feature aggregations, limiting its ability to distinguish anterior versus inferior ischemia, or identify localized conduction blocks.</w:t>
      </w:r>
    </w:p>
    <w:p>
      <w:pPr>
        <w:pStyle w:val="ListParagraph"/>
        <w:numPr>
          <w:ilvl w:val="0"/>
          <w:numId w:val="2"/>
        </w:numPr>
        <w:spacing w:after="40" w:before="40"/>
      </w:pPr>
      <w:r>
        <w:rPr>
          <w:rFonts w:ascii="Arial" w:cs="Arial" w:eastAsia="Arial" w:hAnsi="Arial"/>
          <w:color w:val="2C3E50"/>
          <w:sz w:val="22"/>
          <w:szCs w:val="22"/>
        </w:rPr>
        <w:t xml:space="preserve">Mild Overfitting (Train F1 ≈ 1.0 vs. CV F1 ≈ 0.77): The gap between training and cross-validation performance indicates the model partially memorizes training samples. While test Macro-F1 of 0.800 demonstrates strong generalization, additional regularization or larger training datasets would reduce this gap.</w:t>
      </w:r>
    </w:p>
    <w:p>
      <w:pPr>
        <w:pStyle w:val="ListParagraph"/>
        <w:numPr>
          <w:ilvl w:val="0"/>
          <w:numId w:val="2"/>
        </w:numPr>
        <w:spacing w:after="40" w:before="40"/>
      </w:pPr>
      <w:r>
        <w:rPr>
          <w:rFonts w:ascii="Arial" w:cs="Arial" w:eastAsia="Arial" w:hAnsi="Arial"/>
          <w:color w:val="2C3E50"/>
          <w:sz w:val="22"/>
          <w:szCs w:val="22"/>
        </w:rPr>
        <w:t xml:space="preserve">Model Dependency on Feature Extraction Quality: Prediction accuracy is bounded by the quality of the upstream R-peak detection algorithm. Motion artifacts, electrode displacement, or low-signal-quality recordings that corrupt R-peak detection will systematically degrade hrv and rr_mean features, propagating errors into the final prediction.</w:t>
      </w:r>
    </w:p>
    <w:p>
      <w:r>
        <w:rPr>
          <w:sz w:val="12"/>
          <w:szCs w:val="12"/>
        </w:rPr>
        <w:t xml:space="preserve"/>
      </w:r>
    </w:p>
    <w:p>
      <w:pPr>
        <w:pStyle w:val="Heading2"/>
        <w:spacing w:after="80" w:before="240"/>
      </w:pPr>
      <w:r>
        <w:rPr>
          <w:rFonts w:ascii="Arial" w:cs="Arial" w:eastAsia="Arial" w:hAnsi="Arial"/>
          <w:b/>
          <w:bCs/>
          <w:color w:val="2E75B6"/>
          <w:sz w:val="26"/>
          <w:szCs w:val="26"/>
        </w:rPr>
        <w:t xml:space="preserve">9.2 Future Work</w:t>
      </w:r>
    </w:p>
    <w:p>
      <w:pPr>
        <w:pStyle w:val="ListParagraph"/>
        <w:numPr>
          <w:ilvl w:val="0"/>
          <w:numId w:val="3"/>
        </w:numPr>
        <w:spacing w:after="40" w:before="40"/>
      </w:pPr>
      <w:r>
        <w:rPr>
          <w:rFonts w:ascii="Arial" w:cs="Arial" w:eastAsia="Arial" w:hAnsi="Arial"/>
          <w:color w:val="2C3E50"/>
          <w:sz w:val="22"/>
          <w:szCs w:val="22"/>
        </w:rPr>
        <w:t xml:space="preserve">Deep Learning Fusion: Develop a parallel 1D Convolutional Neural Network (CNN) branch that extracts features directly from the raw ECG voltage time-series, then concatenate CNN embeddings with the engineered feature vector for a hybrid LightGBM+CNN ensemble that captures both morphological and statistical dimensions.</w:t>
      </w:r>
    </w:p>
    <w:p>
      <w:pPr>
        <w:pStyle w:val="ListParagraph"/>
        <w:numPr>
          <w:ilvl w:val="0"/>
          <w:numId w:val="3"/>
        </w:numPr>
        <w:spacing w:after="40" w:before="40"/>
      </w:pPr>
      <w:r>
        <w:rPr>
          <w:rFonts w:ascii="Arial" w:cs="Arial" w:eastAsia="Arial" w:hAnsi="Arial"/>
          <w:color w:val="2C3E50"/>
          <w:sz w:val="22"/>
          <w:szCs w:val="22"/>
        </w:rPr>
        <w:t xml:space="preserve">Multi-Lead Spatial Extension: Extend the feature extraction module to process 12-lead ECG recordings, adding per-lead statistical features and lead-to-lead correlation features to enable spatial localization of conduction abnormalities.</w:t>
      </w:r>
    </w:p>
    <w:p>
      <w:pPr>
        <w:pStyle w:val="ListParagraph"/>
        <w:numPr>
          <w:ilvl w:val="0"/>
          <w:numId w:val="3"/>
        </w:numPr>
        <w:spacing w:after="40" w:before="40"/>
      </w:pPr>
      <w:r>
        <w:rPr>
          <w:rFonts w:ascii="Arial" w:cs="Arial" w:eastAsia="Arial" w:hAnsi="Arial"/>
          <w:color w:val="2C3E50"/>
          <w:sz w:val="22"/>
          <w:szCs w:val="22"/>
        </w:rPr>
        <w:t xml:space="preserve">Continuous Beat-by-Beat Monitoring: Replace fixed-window analysis with a sliding-window approach that evaluates each individual R-R interval independently, enabling detection of paroxysmal events that average out in longer windows.</w:t>
      </w:r>
    </w:p>
    <w:p>
      <w:pPr>
        <w:pStyle w:val="ListParagraph"/>
        <w:numPr>
          <w:ilvl w:val="0"/>
          <w:numId w:val="3"/>
        </w:numPr>
        <w:spacing w:after="40" w:before="40"/>
      </w:pPr>
      <w:r>
        <w:rPr>
          <w:rFonts w:ascii="Arial" w:cs="Arial" w:eastAsia="Arial" w:hAnsi="Arial"/>
          <w:color w:val="2C3E50"/>
          <w:sz w:val="22"/>
          <w:szCs w:val="22"/>
        </w:rPr>
        <w:t xml:space="preserve">Federated Learning for Privacy-Preserving Training: Train updated model versions across multiple hospitals without centralizing patient data, improving model generalization while maintaining compliance with health data privacy regulations.</w:t>
      </w:r>
    </w:p>
    <w:p>
      <w:pPr>
        <w:pStyle w:val="ListParagraph"/>
        <w:numPr>
          <w:ilvl w:val="0"/>
          <w:numId w:val="3"/>
        </w:numPr>
        <w:spacing w:after="40" w:before="40"/>
      </w:pPr>
      <w:r>
        <w:rPr>
          <w:rFonts w:ascii="Arial" w:cs="Arial" w:eastAsia="Arial" w:hAnsi="Arial"/>
          <w:color w:val="2C3E50"/>
          <w:sz w:val="22"/>
          <w:szCs w:val="22"/>
        </w:rPr>
        <w:t xml:space="preserve">SHAP-Based Explainability Integration: Replace the current importance-score explanation approach with SHAP (SHapley Additive exPlanations) values computed per-prediction, providing personalized feature contribution explanations for each individual patient rather than global importance rankings.</w:t>
      </w:r>
    </w:p>
    <w:p>
      <w:r>
        <w:rPr>
          <w:sz w:val="24"/>
          <w:szCs w:val="24"/>
        </w:rPr>
        <w:t xml:space="preserve"/>
      </w: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10. Conclusions</w:t>
      </w:r>
    </w:p>
    <w:p>
      <w:pPr>
        <w:spacing w:after="80" w:before="60"/>
        <w:jc w:val="both"/>
      </w:pPr>
      <w:r>
        <w:rPr>
          <w:rFonts w:ascii="Arial" w:cs="Arial" w:eastAsia="Arial" w:hAnsi="Arial"/>
          <w:color w:val="2C3E50"/>
          <w:sz w:val="22"/>
          <w:szCs w:val="22"/>
        </w:rPr>
        <w:t xml:space="preserve">This report has presented a complete, end-to-end clinical ECG analysis pipeline encompassing dataset quality analysis, feature engineering, statistical correlation analysis, ensemble model selection and justification, performance evaluation, and explainable AI output interpretation. The system demonstrates that LightGBM trained on 14 engineered ECG statistical features achieves 83.8% accuracy and 0.800 Macro-F1 score for three-class cardiac rhythm classification, representing a 15.6 percentage point improvement over a linear baseline.</w:t>
      </w:r>
    </w:p>
    <w:p>
      <w:r>
        <w:rPr>
          <w:sz w:val="12"/>
          <w:szCs w:val="12"/>
        </w:rPr>
        <w:t xml:space="preserve"/>
      </w:r>
    </w:p>
    <w:p>
      <w:pPr>
        <w:spacing w:after="80" w:before="60"/>
        <w:jc w:val="both"/>
      </w:pPr>
      <w:r>
        <w:rPr>
          <w:rFonts w:ascii="Arial" w:cs="Arial" w:eastAsia="Arial" w:hAnsi="Arial"/>
          <w:color w:val="2C3E50"/>
          <w:sz w:val="22"/>
          <w:szCs w:val="22"/>
        </w:rPr>
        <w:t xml:space="preserve">The analytical findings establish several clinically and algorithmically significant conclusions: Heart Rate Variability is quantitatively the most powerful discriminator for arrhythmia detection, outperforming average heart rate by a margin of 440x in information gain. The architectural separation of predicted class from clinical risk level enables the system to provide safety-critical escalation for physiologically dangerous boundary cases that the model would otherwise classify with low certainty.</w:t>
      </w:r>
    </w:p>
    <w:p>
      <w:r>
        <w:rPr>
          <w:sz w:val="12"/>
          <w:szCs w:val="12"/>
        </w:rPr>
        <w:t xml:space="preserve"/>
      </w:r>
    </w:p>
    <w:p>
      <w:pPr>
        <w:spacing w:after="80" w:before="60"/>
        <w:jc w:val="both"/>
      </w:pPr>
      <w:r>
        <w:rPr>
          <w:rFonts w:ascii="Arial" w:cs="Arial" w:eastAsia="Arial" w:hAnsi="Arial"/>
          <w:color w:val="2C3E50"/>
          <w:sz w:val="22"/>
          <w:szCs w:val="22"/>
        </w:rPr>
        <w:t xml:space="preserve">The system's Explainable AI layer, powered by the Gemma 2B language model, generates natural-language clinical summaries that translate probabilistic model outputs into actionable clinical language, making the system deployable as a human-in-the-loop decision support tool rather than a black-box automation system. All high-risk predictions are individually explained, with automatic escalation to manual clinician review for Other/Unclassified cases.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CCCCCC" w:sz="1"/>
              <w:right w:val="single" w:color="CCCCCC" w:sz="1"/>
            </w:tcBorders>
            <w:shd w:fill="D6E4F0" w:val="clear"/>
            <w:tcMar>
              <w:top w:type="dxa" w:w="100"/>
              <w:left w:type="dxa" w:w="200"/>
              <w:bottom w:type="dxa" w:w="100"/>
              <w:right w:type="dxa" w:w="140"/>
            </w:tcMar>
          </w:tcPr>
          <w:p>
            <w:r>
              <w:rPr>
                <w:rFonts w:ascii="Arial" w:cs="Arial" w:eastAsia="Arial" w:hAnsi="Arial"/>
                <w:b/>
                <w:bCs/>
                <w:color w:val="1F3864"/>
                <w:sz w:val="22"/>
                <w:szCs w:val="22"/>
              </w:rPr>
              <w:t xml:space="preserve">Final Performance Summary</w:t>
            </w:r>
          </w:p>
          <w:p>
            <w:pPr>
              <w:spacing w:before="40"/>
            </w:pPr>
            <w:r>
              <w:rPr>
                <w:rFonts w:ascii="Arial" w:cs="Arial" w:eastAsia="Arial" w:hAnsi="Arial"/>
                <w:color w:val="2C3E50"/>
                <w:sz w:val="21"/>
                <w:szCs w:val="21"/>
              </w:rPr>
              <w:t xml:space="preserve">LightGBM | Test Accuracy: 83.8% | Macro-F1: 0.800 | CV F1: 0.788 ± 0.008 | Session Average Confidence: 88.9% | High-Risk Detection Rate: 80% of monitored cohort | XAI Coverage: 100% of HIGH-risk predictions explained in natural language</w:t>
            </w:r>
          </w:p>
        </w:tc>
      </w:tr>
    </w:tbl>
    <w:p>
      <w:r>
        <w:rPr>
          <w:sz w:val="24"/>
          <w:szCs w:val="24"/>
        </w:rP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7F8C8D"/>
        <w:sz w:val="18"/>
        <w:szCs w:val="18"/>
      </w:rPr>
      <w:t xml:space="preserve">Clinical Decision Support Report  |  </w:t>
    </w:r>
    <w:r>
      <w:rPr>
        <w:rFonts w:ascii="Arial" w:cs="Arial" w:eastAsia="Arial" w:hAnsi="Arial"/>
        <w:color w:val="7F8C8D"/>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7F8C8D"/>
        <w:sz w:val="18"/>
        <w:szCs w:val="18"/>
      </w:rPr>
      <w:t xml:space="preserve">ECG Cardiac Risk Assessment System  |  LightGBM + Gemma XAI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fa6ae74426ee2036570bbb9c2bf8f5e54fc9f26.png"/><Relationship Id="rId10" Type="http://schemas.openxmlformats.org/officeDocument/2006/relationships/image" Target="media/ce83080de6d094368537c30f6fc4e722ec8a276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2026-06-07T14:01:20.501Z</dcterms:created>
  <dcterms:modified xsi:type="dcterms:W3CDTF">2026-06-07T14:01:20.502Z</dcterms:modified>
</cp:coreProperties>
</file>

<file path=docProps/custom.xml><?xml version="1.0" encoding="utf-8"?>
<Properties xmlns="http://schemas.openxmlformats.org/officeDocument/2006/custom-properties" xmlns:vt="http://schemas.openxmlformats.org/officeDocument/2006/docPropsVTypes"/>
</file>