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Through the data given, we have came up with 2 groups: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1: Neutral liking Group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Jasmine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2: Food lovers Group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Jennifer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To appeal and market to group 1, show them ads for both broccoli and snickers that specifically present them both in a new way or try to make them look more appetizing. This group may need a different perspective on these foods as they tend to not show a high liking for either option.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To appeal and market to group 2, Show them general ads for both broccoli and snickers as they show a high liking for both.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K-Means Clustering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Iteration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843713" cy="262003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262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870875" cy="143519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875" cy="143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869756" cy="94911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9756" cy="94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Iteration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830215" cy="19155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0215" cy="191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851978" cy="164851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978" cy="16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834188" cy="96348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963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Iteration 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847412" cy="192034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7412" cy="192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K5z1Ubc1IfjRO4aSHXb8aCcmg==">CgMxLjA4AHIhMUhldnVRVmtaSHRMbFFIZk9fdGJaTFRXdGM5U0VNQ3N4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