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eastAsia="黑体"/>
        </w:rPr>
      </w:pPr>
    </w:p>
    <w:p>
      <w:pPr>
        <w:jc w:val="both"/>
        <w:rPr>
          <w:rFonts w:hint="default" w:ascii="黑体" w:eastAsia="黑体"/>
          <w:b/>
          <w:sz w:val="30"/>
          <w:lang w:val="en-US" w:eastAsia="zh-CN"/>
        </w:rPr>
      </w:pPr>
      <w:r>
        <w:rPr>
          <w:rFonts w:hint="eastAsia" w:ascii="黑体" w:eastAsia="黑体"/>
        </w:rPr>
        <w:t xml:space="preserve">                                                      </w:t>
      </w:r>
      <w:r>
        <w:rPr>
          <w:rFonts w:hint="eastAsia" w:ascii="黑体" w:eastAsia="黑体"/>
          <w:lang w:val="en-US" w:eastAsia="zh-CN"/>
        </w:rPr>
        <w:t xml:space="preserve">   </w:t>
      </w:r>
      <w:r>
        <w:rPr>
          <w:rFonts w:hint="eastAsia" w:ascii="黑体" w:eastAsia="黑体"/>
          <w:b/>
          <w:sz w:val="28"/>
        </w:rPr>
        <w:t xml:space="preserve"> </w:t>
      </w:r>
      <w:r>
        <w:rPr>
          <w:rFonts w:hint="eastAsia" w:ascii="黑体" w:eastAsia="黑体"/>
          <w:b/>
          <w:sz w:val="30"/>
        </w:rPr>
        <w:t>编号：</w:t>
      </w:r>
    </w:p>
    <w:p>
      <w:pPr>
        <w:jc w:val="both"/>
        <w:rPr>
          <w:rFonts w:hint="eastAsia" w:ascii="黑体" w:eastAsia="黑体"/>
          <w:b/>
          <w:sz w:val="28"/>
          <w:lang w:val="en-US" w:eastAsia="zh-CN"/>
        </w:rPr>
      </w:pPr>
      <w:r>
        <w:rPr>
          <w:rFonts w:hint="eastAsia" w:ascii="黑体" w:eastAsia="黑体"/>
          <w:b/>
          <w:sz w:val="30"/>
        </w:rPr>
        <w:t xml:space="preserve">                                        </w:t>
      </w:r>
      <w:r>
        <w:rPr>
          <w:rFonts w:hint="eastAsia" w:ascii="黑体" w:eastAsia="黑体"/>
          <w:b/>
          <w:sz w:val="30"/>
          <w:lang w:val="en-US" w:eastAsia="zh-CN"/>
        </w:rPr>
        <w:t xml:space="preserve"> </w:t>
      </w:r>
      <w:r>
        <w:rPr>
          <w:rFonts w:hint="eastAsia" w:ascii="黑体" w:eastAsia="黑体"/>
          <w:b/>
          <w:sz w:val="30"/>
        </w:rPr>
        <w:t>分类：</w:t>
      </w:r>
    </w:p>
    <w:p>
      <w:pPr>
        <w:ind w:firstLine="0"/>
        <w:jc w:val="center"/>
        <w:rPr>
          <w:rFonts w:hint="eastAsia" w:ascii="黑体" w:eastAsia="黑体"/>
          <w:b/>
          <w:sz w:val="44"/>
        </w:rPr>
      </w:pPr>
      <w:r>
        <w:rPr>
          <w:rFonts w:hint="eastAsia" w:ascii="黑体" w:eastAsia="黑体"/>
          <w:b/>
          <w:sz w:val="44"/>
        </w:rPr>
        <w:t xml:space="preserve"> </w:t>
      </w:r>
      <w:r>
        <w:rPr>
          <w:rFonts w:hint="eastAsia" w:ascii="黑体" w:eastAsia="黑体"/>
          <w:b/>
          <w:sz w:val="44"/>
          <w:lang w:val="en-US" w:eastAsia="zh-CN"/>
        </w:rPr>
        <w:t>汝州</w:t>
      </w:r>
      <w:r>
        <w:rPr>
          <w:rFonts w:hint="eastAsia" w:ascii="黑体" w:eastAsia="黑体"/>
          <w:b/>
          <w:sz w:val="44"/>
        </w:rPr>
        <w:t>市第</w:t>
      </w:r>
      <w:r>
        <w:rPr>
          <w:rFonts w:hint="eastAsia" w:ascii="黑体" w:eastAsia="黑体"/>
          <w:b/>
          <w:sz w:val="44"/>
          <w:lang w:eastAsia="zh-CN"/>
        </w:rPr>
        <w:t>九</w:t>
      </w:r>
      <w:r>
        <w:rPr>
          <w:rFonts w:hint="eastAsia" w:ascii="黑体" w:eastAsia="黑体"/>
          <w:b/>
          <w:sz w:val="44"/>
        </w:rPr>
        <w:t>届人民代表大会第</w:t>
      </w:r>
      <w:r>
        <w:rPr>
          <w:rFonts w:hint="eastAsia" w:ascii="黑体" w:eastAsia="黑体"/>
          <w:b/>
          <w:sz w:val="44"/>
          <w:lang w:val="en-US" w:eastAsia="zh-CN"/>
        </w:rPr>
        <w:t>一</w:t>
      </w:r>
      <w:r>
        <w:rPr>
          <w:rFonts w:hint="eastAsia" w:ascii="黑体" w:eastAsia="黑体"/>
          <w:b/>
          <w:sz w:val="44"/>
        </w:rPr>
        <w:t>次</w:t>
      </w:r>
    </w:p>
    <w:p>
      <w:pPr>
        <w:ind w:firstLine="0"/>
        <w:jc w:val="center"/>
        <w:rPr>
          <w:rFonts w:hint="eastAsia" w:ascii="黑体" w:eastAsia="黑体"/>
          <w:b/>
          <w:sz w:val="48"/>
        </w:rPr>
      </w:pPr>
      <w:r>
        <w:rPr>
          <w:rFonts w:hint="eastAsia" w:ascii="黑体" w:eastAsia="黑体"/>
          <w:b/>
          <w:sz w:val="44"/>
        </w:rPr>
        <w:t>会议代表建议、批评、意见专用纸</w:t>
      </w:r>
    </w:p>
    <w:p>
      <w:pPr>
        <w:spacing w:line="120" w:lineRule="auto"/>
        <w:ind w:firstLine="0"/>
        <w:jc w:val="center"/>
        <w:rPr>
          <w:rFonts w:ascii="楷体_GB2312" w:hAnsi="宋体" w:eastAsia="楷体_GB2312"/>
          <w:b/>
          <w:sz w:val="32"/>
        </w:rPr>
      </w:pPr>
      <w:r>
        <w:rPr>
          <w:rFonts w:hint="default"/>
          <w:b/>
          <w:sz w:val="36"/>
        </w:rPr>
        <w:t xml:space="preserve">    </w:t>
      </w:r>
      <w:r>
        <w:rPr>
          <w:rFonts w:hint="eastAsia"/>
          <w:b/>
          <w:sz w:val="36"/>
          <w:lang w:val="en-US" w:eastAsia="zh-CN"/>
        </w:rPr>
        <w:t>2022</w:t>
      </w:r>
      <w:r>
        <w:rPr>
          <w:rFonts w:hint="default"/>
          <w:b/>
          <w:sz w:val="36"/>
        </w:rPr>
        <w:t xml:space="preserve">  </w:t>
      </w:r>
      <w:r>
        <w:rPr>
          <w:rFonts w:hint="eastAsia" w:ascii="楷体_GB2312" w:hAnsi="宋体" w:eastAsia="楷体_GB2312"/>
          <w:b/>
          <w:sz w:val="32"/>
        </w:rPr>
        <w:t>年</w:t>
      </w:r>
      <w:r>
        <w:rPr>
          <w:rFonts w:hint="default" w:ascii="楷体_GB2312" w:hAnsi="宋体" w:eastAsia="楷体_GB2312"/>
          <w:b/>
          <w:sz w:val="32"/>
        </w:rPr>
        <w:t xml:space="preserve">   </w:t>
      </w:r>
      <w:r>
        <w:rPr>
          <w:rFonts w:hint="eastAsia" w:ascii="楷体_GB2312" w:hAnsi="宋体" w:eastAsia="楷体_GB2312"/>
          <w:b/>
          <w:sz w:val="32"/>
          <w:lang w:val="en-US" w:eastAsia="zh-CN"/>
        </w:rPr>
        <w:t>4</w:t>
      </w:r>
      <w:r>
        <w:rPr>
          <w:rFonts w:hint="eastAsia" w:ascii="楷体_GB2312" w:hAnsi="宋体" w:eastAsia="楷体_GB2312"/>
          <w:b/>
          <w:sz w:val="32"/>
        </w:rPr>
        <w:t>月</w:t>
      </w:r>
      <w:r>
        <w:rPr>
          <w:rFonts w:hint="default" w:ascii="楷体_GB2312" w:hAnsi="宋体" w:eastAsia="楷体_GB2312"/>
          <w:b/>
          <w:sz w:val="32"/>
        </w:rPr>
        <w:t xml:space="preserve">  </w:t>
      </w:r>
      <w:r>
        <w:rPr>
          <w:rFonts w:hint="eastAsia" w:ascii="楷体_GB2312" w:hAnsi="宋体" w:eastAsia="楷体_GB2312"/>
          <w:b/>
          <w:sz w:val="32"/>
          <w:lang w:val="en-US" w:eastAsia="zh-CN"/>
        </w:rPr>
        <w:t>19</w:t>
      </w:r>
      <w:r>
        <w:rPr>
          <w:rFonts w:hint="default" w:ascii="楷体_GB2312" w:hAnsi="宋体" w:eastAsia="楷体_GB2312"/>
          <w:b/>
          <w:sz w:val="32"/>
        </w:rPr>
        <w:t xml:space="preserve">  </w:t>
      </w:r>
      <w:r>
        <w:rPr>
          <w:rFonts w:hint="eastAsia" w:ascii="楷体_GB2312" w:hAnsi="宋体" w:eastAsia="楷体_GB2312"/>
          <w:b/>
          <w:sz w:val="32"/>
        </w:rPr>
        <w:t xml:space="preserve">日     </w:t>
      </w:r>
      <w:r>
        <w:rPr>
          <w:rFonts w:hint="eastAsia"/>
          <w:b/>
          <w:sz w:val="28"/>
        </w:rPr>
        <w:t xml:space="preserve"> </w:t>
      </w:r>
    </w:p>
    <w:tbl>
      <w:tblPr>
        <w:tblStyle w:val="2"/>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4"/>
        <w:gridCol w:w="511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8522" w:type="dxa"/>
            <w:gridSpan w:val="3"/>
            <w:noWrap w:val="0"/>
            <w:vAlign w:val="top"/>
          </w:tcPr>
          <w:p>
            <w:pPr>
              <w:numPr>
                <w:ilvl w:val="0"/>
                <w:numId w:val="0"/>
              </w:numPr>
              <w:jc w:val="left"/>
              <w:rPr>
                <w:rFonts w:hint="default" w:ascii="仿宋_GB2312" w:hAnsi="宋体" w:eastAsia="黑体"/>
                <w:b/>
                <w:sz w:val="32"/>
                <w:lang w:val="en-US" w:eastAsia="zh-CN"/>
              </w:rPr>
            </w:pPr>
            <w:r>
              <w:rPr>
                <w:rFonts w:hint="eastAsia" w:ascii="黑体" w:hAnsi="宋体" w:eastAsia="黑体"/>
                <w:b/>
                <w:sz w:val="32"/>
              </w:rPr>
              <w:t>题目：</w:t>
            </w:r>
            <w:bookmarkStart w:id="0" w:name="_GoBack"/>
            <w:r>
              <w:rPr>
                <w:rFonts w:hint="eastAsia" w:ascii="黑体" w:hAnsi="黑体" w:eastAsia="黑体" w:cs="黑体"/>
                <w:b/>
                <w:bCs/>
                <w:color w:val="000008"/>
                <w:kern w:val="0"/>
                <w:sz w:val="32"/>
                <w:szCs w:val="32"/>
                <w:u w:val="none"/>
                <w:lang w:val="en-US" w:eastAsia="zh-CN" w:bidi="ar"/>
              </w:rPr>
              <w:t>关于怯庄棚改安置房交房及棚改腾置地块周边环境整治的</w:t>
            </w:r>
            <w:r>
              <w:rPr>
                <w:rFonts w:hint="eastAsia" w:ascii="黑体" w:hAnsi="宋体" w:eastAsia="黑体"/>
                <w:b/>
                <w:sz w:val="32"/>
                <w:u w:val="none"/>
                <w:lang w:val="en-US" w:eastAsia="zh-CN"/>
              </w:rPr>
              <w:t>建议</w:t>
            </w:r>
            <w:bookmarkEnd w:id="0"/>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8522" w:type="dxa"/>
            <w:gridSpan w:val="3"/>
            <w:noWrap w:val="0"/>
            <w:vAlign w:val="top"/>
          </w:tcPr>
          <w:p>
            <w:pPr>
              <w:spacing w:line="120" w:lineRule="auto"/>
              <w:rPr>
                <w:rFonts w:hint="eastAsia" w:ascii="黑体" w:hAnsi="宋体" w:eastAsia="黑体"/>
                <w:b/>
                <w:sz w:val="32"/>
              </w:rPr>
            </w:pPr>
            <w:r>
              <w:rPr>
                <w:rFonts w:hint="eastAsia" w:ascii="黑体" w:hAnsi="宋体" w:eastAsia="黑体"/>
                <w:b/>
                <w:sz w:val="32"/>
              </w:rPr>
              <w:t xml:space="preserve">建议正文共  </w:t>
            </w:r>
            <w:r>
              <w:rPr>
                <w:rFonts w:hint="eastAsia" w:ascii="黑体" w:hAnsi="宋体" w:eastAsia="黑体"/>
                <w:b/>
                <w:sz w:val="32"/>
                <w:lang w:val="en-US" w:eastAsia="zh-CN"/>
              </w:rPr>
              <w:t>1</w:t>
            </w:r>
            <w:r>
              <w:rPr>
                <w:rFonts w:hint="eastAsia" w:ascii="黑体" w:hAnsi="宋体" w:eastAsia="黑体"/>
                <w:b/>
                <w:sz w:val="32"/>
              </w:rPr>
              <w:t>页</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8522" w:type="dxa"/>
            <w:gridSpan w:val="3"/>
            <w:tcBorders>
              <w:bottom w:val="single" w:color="auto" w:sz="4" w:space="0"/>
            </w:tcBorders>
            <w:noWrap w:val="0"/>
            <w:vAlign w:val="top"/>
          </w:tcPr>
          <w:p>
            <w:pPr>
              <w:spacing w:line="120" w:lineRule="auto"/>
              <w:rPr>
                <w:rFonts w:hint="eastAsia" w:ascii="仿宋_GB2312" w:hAnsi="宋体" w:eastAsia="黑体"/>
                <w:b/>
                <w:sz w:val="32"/>
                <w:lang w:val="en-US" w:eastAsia="zh-CN"/>
              </w:rPr>
            </w:pPr>
            <w:r>
              <w:rPr>
                <w:rFonts w:hint="eastAsia" w:ascii="黑体" w:hAnsi="宋体" w:eastAsia="黑体"/>
                <w:b/>
                <w:sz w:val="32"/>
              </w:rPr>
              <w:t>提建议人：</w:t>
            </w:r>
            <w:r>
              <w:rPr>
                <w:rFonts w:hint="eastAsia" w:ascii="楷体_GB2312" w:hAnsi="宋体" w:eastAsia="楷体_GB2312"/>
                <w:b/>
                <w:sz w:val="32"/>
                <w:lang w:val="en-US" w:eastAsia="zh-CN"/>
              </w:rPr>
              <w:t>王军强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1705" w:type="dxa"/>
            <w:noWrap w:val="0"/>
            <w:vAlign w:val="top"/>
          </w:tcPr>
          <w:p>
            <w:pPr>
              <w:spacing w:line="120" w:lineRule="auto"/>
              <w:jc w:val="center"/>
              <w:rPr>
                <w:rFonts w:hint="eastAsia" w:ascii="仿宋_GB2312" w:hAnsi="宋体" w:eastAsia="仿宋_GB2312"/>
                <w:b/>
                <w:sz w:val="30"/>
              </w:rPr>
            </w:pPr>
            <w:r>
              <w:rPr>
                <w:rFonts w:hint="eastAsia" w:ascii="仿宋_GB2312" w:hAnsi="宋体" w:eastAsia="仿宋_GB2312"/>
                <w:b/>
                <w:sz w:val="30"/>
              </w:rPr>
              <w:t>姓名</w:t>
            </w:r>
          </w:p>
        </w:tc>
        <w:tc>
          <w:tcPr>
            <w:tcW w:w="1704" w:type="dxa"/>
            <w:noWrap w:val="0"/>
            <w:vAlign w:val="top"/>
          </w:tcPr>
          <w:p>
            <w:pPr>
              <w:spacing w:line="120" w:lineRule="auto"/>
              <w:jc w:val="center"/>
              <w:rPr>
                <w:rFonts w:hint="eastAsia" w:ascii="仿宋_GB2312" w:hAnsi="宋体" w:eastAsia="仿宋_GB2312"/>
                <w:b/>
                <w:sz w:val="30"/>
              </w:rPr>
            </w:pPr>
            <w:r>
              <w:rPr>
                <w:rFonts w:hint="eastAsia" w:ascii="仿宋_GB2312" w:hAnsi="宋体" w:eastAsia="仿宋_GB2312"/>
                <w:b/>
                <w:sz w:val="30"/>
              </w:rPr>
              <w:t>选举单位</w:t>
            </w:r>
          </w:p>
        </w:tc>
        <w:tc>
          <w:tcPr>
            <w:tcW w:w="5113" w:type="dxa"/>
            <w:noWrap w:val="0"/>
            <w:vAlign w:val="top"/>
          </w:tcPr>
          <w:p>
            <w:pPr>
              <w:spacing w:line="120" w:lineRule="auto"/>
              <w:jc w:val="center"/>
              <w:rPr>
                <w:rFonts w:hint="eastAsia" w:ascii="仿宋_GB2312" w:hAnsi="宋体" w:eastAsia="仿宋_GB2312"/>
                <w:b/>
                <w:sz w:val="30"/>
              </w:rPr>
            </w:pPr>
            <w:r>
              <w:rPr>
                <w:rFonts w:hint="eastAsia" w:ascii="仿宋_GB2312" w:hAnsi="宋体" w:eastAsia="仿宋_GB2312"/>
                <w:b/>
                <w:sz w:val="30"/>
              </w:rPr>
              <w:t>详细通讯地址、邮政编码、电话号码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705" w:type="dxa"/>
            <w:noWrap w:val="0"/>
            <w:vAlign w:val="top"/>
          </w:tcPr>
          <w:p>
            <w:pPr>
              <w:spacing w:line="120" w:lineRule="auto"/>
              <w:rPr>
                <w:rFonts w:hint="eastAsia" w:ascii="楷体_GB2312" w:hAnsi="宋体" w:eastAsia="楷体_GB2312"/>
                <w:b/>
                <w:kern w:val="2"/>
                <w:sz w:val="32"/>
                <w:lang w:val="en-US" w:eastAsia="zh-CN"/>
              </w:rPr>
            </w:pPr>
            <w:r>
              <w:rPr>
                <w:rFonts w:hint="eastAsia" w:ascii="楷体_GB2312" w:hAnsi="宋体" w:eastAsia="楷体_GB2312"/>
                <w:b/>
                <w:kern w:val="2"/>
                <w:sz w:val="32"/>
                <w:lang w:val="en-US" w:eastAsia="zh-CN"/>
              </w:rPr>
              <w:t>王军强</w:t>
            </w:r>
          </w:p>
        </w:tc>
        <w:tc>
          <w:tcPr>
            <w:tcW w:w="1704" w:type="dxa"/>
            <w:noWrap w:val="0"/>
            <w:vAlign w:val="top"/>
          </w:tcPr>
          <w:p>
            <w:pPr>
              <w:spacing w:line="120" w:lineRule="auto"/>
              <w:jc w:val="center"/>
              <w:rPr>
                <w:rFonts w:hint="eastAsia" w:ascii="楷体_GB2312" w:hAnsi="宋体" w:eastAsia="楷体_GB2312"/>
                <w:b/>
                <w:spacing w:val="-20"/>
                <w:kern w:val="2"/>
                <w:sz w:val="32"/>
                <w:lang w:val="en-US" w:eastAsia="zh-CN"/>
              </w:rPr>
            </w:pPr>
            <w:r>
              <w:rPr>
                <w:rFonts w:hint="eastAsia" w:ascii="楷体_GB2312" w:hAnsi="宋体" w:eastAsia="楷体_GB2312"/>
                <w:b/>
                <w:spacing w:val="-20"/>
                <w:sz w:val="32"/>
                <w:lang w:val="en-US" w:eastAsia="zh-CN"/>
              </w:rPr>
              <w:t>汝南街道</w:t>
            </w:r>
          </w:p>
        </w:tc>
        <w:tc>
          <w:tcPr>
            <w:tcW w:w="5113" w:type="dxa"/>
            <w:noWrap w:val="0"/>
            <w:vAlign w:val="top"/>
          </w:tcPr>
          <w:p>
            <w:pPr>
              <w:spacing w:line="120" w:lineRule="auto"/>
              <w:rPr>
                <w:rFonts w:hint="default" w:ascii="楷体_GB2312" w:hAnsi="宋体" w:eastAsia="楷体_GB2312"/>
                <w:b/>
                <w:kern w:val="2"/>
                <w:sz w:val="32"/>
                <w:lang w:val="en-US" w:eastAsia="zh-CN"/>
              </w:rPr>
            </w:pPr>
            <w:r>
              <w:rPr>
                <w:rFonts w:hint="eastAsia" w:ascii="楷体_GB2312" w:hAnsi="宋体" w:eastAsia="楷体_GB2312"/>
                <w:b/>
                <w:sz w:val="32"/>
                <w:lang w:val="en-US" w:eastAsia="zh-CN"/>
              </w:rPr>
              <w:t>汝州市汝南街道怯庄村</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705" w:type="dxa"/>
            <w:noWrap w:val="0"/>
            <w:vAlign w:val="top"/>
          </w:tcPr>
          <w:p>
            <w:pPr>
              <w:spacing w:line="120" w:lineRule="auto"/>
              <w:rPr>
                <w:rFonts w:hint="eastAsia" w:ascii="楷体_GB2312" w:hAnsi="宋体" w:eastAsia="楷体_GB2312"/>
                <w:b/>
                <w:kern w:val="2"/>
                <w:sz w:val="32"/>
                <w:lang w:val="en-US" w:eastAsia="zh-CN"/>
              </w:rPr>
            </w:pPr>
          </w:p>
        </w:tc>
        <w:tc>
          <w:tcPr>
            <w:tcW w:w="1704" w:type="dxa"/>
            <w:noWrap w:val="0"/>
            <w:vAlign w:val="top"/>
          </w:tcPr>
          <w:p>
            <w:pPr>
              <w:spacing w:line="120" w:lineRule="auto"/>
              <w:rPr>
                <w:rFonts w:hint="eastAsia" w:ascii="楷体_GB2312" w:hAnsi="宋体" w:eastAsia="楷体_GB2312"/>
                <w:b/>
                <w:spacing w:val="-20"/>
                <w:kern w:val="2"/>
                <w:sz w:val="32"/>
                <w:lang w:val="en-US" w:eastAsia="zh-CN"/>
              </w:rPr>
            </w:pPr>
          </w:p>
        </w:tc>
        <w:tc>
          <w:tcPr>
            <w:tcW w:w="5113" w:type="dxa"/>
            <w:noWrap w:val="0"/>
            <w:vAlign w:val="top"/>
          </w:tcPr>
          <w:p>
            <w:pPr>
              <w:spacing w:line="120" w:lineRule="auto"/>
              <w:rPr>
                <w:rFonts w:hint="default" w:ascii="楷体_GB2312" w:hAnsi="宋体" w:eastAsia="楷体_GB2312"/>
                <w:b/>
                <w:kern w:val="2"/>
                <w:sz w:val="32"/>
                <w:lang w:val="en-US" w:eastAsia="zh-CN"/>
              </w:rPr>
            </w:pPr>
            <w:r>
              <w:rPr>
                <w:rFonts w:hint="eastAsia" w:ascii="楷体_GB2312" w:hAnsi="宋体" w:eastAsia="楷体_GB2312"/>
                <w:b/>
                <w:sz w:val="32"/>
                <w:lang w:val="en-US" w:eastAsia="zh-CN"/>
              </w:rPr>
              <w:t>邮政编码467535电话13782432777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705" w:type="dxa"/>
            <w:noWrap w:val="0"/>
            <w:vAlign w:val="top"/>
          </w:tcPr>
          <w:p>
            <w:pPr>
              <w:spacing w:line="120" w:lineRule="auto"/>
              <w:rPr>
                <w:rFonts w:hint="default" w:ascii="楷体_GB2312" w:hAnsi="宋体" w:eastAsia="楷体_GB2312"/>
                <w:b/>
                <w:kern w:val="2"/>
                <w:sz w:val="32"/>
                <w:lang w:val="en-US" w:eastAsia="zh-CN"/>
              </w:rPr>
            </w:pPr>
          </w:p>
        </w:tc>
        <w:tc>
          <w:tcPr>
            <w:tcW w:w="1704" w:type="dxa"/>
            <w:noWrap w:val="0"/>
            <w:vAlign w:val="top"/>
          </w:tcPr>
          <w:p>
            <w:pPr>
              <w:spacing w:line="120" w:lineRule="auto"/>
              <w:rPr>
                <w:rFonts w:hint="eastAsia" w:ascii="楷体_GB2312" w:hAnsi="宋体" w:eastAsia="楷体_GB2312"/>
                <w:b/>
                <w:spacing w:val="-20"/>
                <w:kern w:val="2"/>
                <w:sz w:val="32"/>
                <w:lang w:val="en-US" w:eastAsia="zh-CN"/>
              </w:rPr>
            </w:pPr>
          </w:p>
        </w:tc>
        <w:tc>
          <w:tcPr>
            <w:tcW w:w="5113" w:type="dxa"/>
            <w:noWrap w:val="0"/>
            <w:vAlign w:val="top"/>
          </w:tcPr>
          <w:p>
            <w:pPr>
              <w:spacing w:line="120" w:lineRule="auto"/>
              <w:rPr>
                <w:rFonts w:hint="eastAsia" w:ascii="楷体_GB2312" w:hAnsi="宋体" w:eastAsia="楷体_GB2312"/>
                <w:b/>
                <w:kern w:val="2"/>
                <w:sz w:val="32"/>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0" w:hRule="atLeast"/>
        </w:trPr>
        <w:tc>
          <w:tcPr>
            <w:tcW w:w="1705" w:type="dxa"/>
            <w:noWrap w:val="0"/>
            <w:vAlign w:val="top"/>
          </w:tcPr>
          <w:p>
            <w:pPr>
              <w:spacing w:line="120" w:lineRule="auto"/>
              <w:rPr>
                <w:rFonts w:hint="eastAsia" w:ascii="楷体_GB2312" w:hAnsi="宋体" w:eastAsia="楷体_GB2312"/>
                <w:b/>
                <w:sz w:val="32"/>
              </w:rPr>
            </w:pPr>
          </w:p>
        </w:tc>
        <w:tc>
          <w:tcPr>
            <w:tcW w:w="1704" w:type="dxa"/>
            <w:noWrap w:val="0"/>
            <w:vAlign w:val="top"/>
          </w:tcPr>
          <w:p>
            <w:pPr>
              <w:spacing w:line="120" w:lineRule="auto"/>
              <w:rPr>
                <w:rFonts w:hint="eastAsia" w:ascii="楷体_GB2312" w:hAnsi="宋体" w:eastAsia="楷体_GB2312"/>
                <w:b/>
                <w:spacing w:val="-20"/>
                <w:sz w:val="32"/>
              </w:rPr>
            </w:pPr>
          </w:p>
        </w:tc>
        <w:tc>
          <w:tcPr>
            <w:tcW w:w="5113" w:type="dxa"/>
            <w:noWrap w:val="0"/>
            <w:vAlign w:val="top"/>
          </w:tcPr>
          <w:p>
            <w:pPr>
              <w:spacing w:line="120" w:lineRule="auto"/>
              <w:rPr>
                <w:rFonts w:hint="default" w:ascii="楷体_GB2312" w:hAnsi="宋体" w:eastAsia="楷体_GB2312"/>
                <w:b/>
                <w:sz w:val="32"/>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705" w:type="dxa"/>
            <w:noWrap w:val="0"/>
            <w:vAlign w:val="top"/>
          </w:tcPr>
          <w:p>
            <w:pPr>
              <w:spacing w:line="120" w:lineRule="auto"/>
              <w:rPr>
                <w:rFonts w:hint="default" w:ascii="楷体_GB2312" w:hAnsi="宋体" w:eastAsia="楷体_GB2312"/>
                <w:b/>
                <w:sz w:val="32"/>
                <w:lang w:val="en-US" w:eastAsia="zh-CN"/>
              </w:rPr>
            </w:pPr>
          </w:p>
        </w:tc>
        <w:tc>
          <w:tcPr>
            <w:tcW w:w="1704" w:type="dxa"/>
            <w:noWrap w:val="0"/>
            <w:vAlign w:val="top"/>
          </w:tcPr>
          <w:p>
            <w:pPr>
              <w:spacing w:line="120" w:lineRule="auto"/>
              <w:rPr>
                <w:rFonts w:hint="eastAsia" w:ascii="楷体_GB2312" w:hAnsi="宋体" w:eastAsia="楷体_GB2312"/>
                <w:b/>
                <w:spacing w:val="-20"/>
                <w:sz w:val="32"/>
              </w:rPr>
            </w:pPr>
          </w:p>
        </w:tc>
        <w:tc>
          <w:tcPr>
            <w:tcW w:w="5113" w:type="dxa"/>
            <w:noWrap w:val="0"/>
            <w:vAlign w:val="top"/>
          </w:tcPr>
          <w:p>
            <w:pPr>
              <w:spacing w:line="120" w:lineRule="auto"/>
              <w:rPr>
                <w:rFonts w:hint="eastAsia" w:ascii="楷体_GB2312" w:hAnsi="宋体" w:eastAsia="楷体_GB2312"/>
                <w:b/>
                <w:sz w:val="32"/>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705" w:type="dxa"/>
            <w:noWrap w:val="0"/>
            <w:vAlign w:val="top"/>
          </w:tcPr>
          <w:p>
            <w:pPr>
              <w:spacing w:line="120" w:lineRule="auto"/>
              <w:rPr>
                <w:rFonts w:hint="eastAsia" w:ascii="楷体_GB2312" w:hAnsi="宋体" w:eastAsia="楷体_GB2312"/>
                <w:b/>
                <w:sz w:val="32"/>
              </w:rPr>
            </w:pPr>
          </w:p>
        </w:tc>
        <w:tc>
          <w:tcPr>
            <w:tcW w:w="1704" w:type="dxa"/>
            <w:noWrap w:val="0"/>
            <w:vAlign w:val="top"/>
          </w:tcPr>
          <w:p>
            <w:pPr>
              <w:spacing w:line="120" w:lineRule="auto"/>
              <w:rPr>
                <w:rFonts w:hint="eastAsia" w:ascii="楷体_GB2312" w:hAnsi="宋体" w:eastAsia="楷体_GB2312"/>
                <w:b/>
                <w:spacing w:val="-20"/>
                <w:sz w:val="32"/>
              </w:rPr>
            </w:pPr>
          </w:p>
        </w:tc>
        <w:tc>
          <w:tcPr>
            <w:tcW w:w="5113" w:type="dxa"/>
            <w:noWrap w:val="0"/>
            <w:vAlign w:val="top"/>
          </w:tcPr>
          <w:p>
            <w:pPr>
              <w:spacing w:line="120" w:lineRule="auto"/>
              <w:rPr>
                <w:rFonts w:hint="eastAsia" w:ascii="楷体_GB2312" w:hAnsi="宋体" w:eastAsia="楷体_GB2312"/>
                <w:b/>
                <w:sz w:val="32"/>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8522" w:type="dxa"/>
            <w:gridSpan w:val="3"/>
            <w:noWrap w:val="0"/>
            <w:vAlign w:val="top"/>
          </w:tcPr>
          <w:p>
            <w:pPr>
              <w:spacing w:line="120" w:lineRule="auto"/>
              <w:rPr>
                <w:rFonts w:hint="eastAsia" w:ascii="仿宋_GB2312" w:hAnsi="宋体" w:eastAsia="仿宋_GB2312"/>
                <w:b/>
                <w:sz w:val="32"/>
              </w:rPr>
            </w:pPr>
            <w:r>
              <w:rPr>
                <w:rFonts w:hint="eastAsia" w:ascii="黑体" w:hAnsi="宋体" w:eastAsia="黑体"/>
                <w:b/>
                <w:sz w:val="32"/>
              </w:rPr>
              <w:t>处理意见：</w:t>
            </w:r>
          </w:p>
          <w:p>
            <w:pPr>
              <w:spacing w:line="120" w:lineRule="auto"/>
              <w:rPr>
                <w:rFonts w:hint="eastAsia" w:ascii="楷体_GB2312" w:hAnsi="宋体" w:eastAsia="楷体_GB2312"/>
                <w:b/>
                <w:sz w:val="32"/>
              </w:rPr>
            </w:pPr>
          </w:p>
          <w:p>
            <w:pPr>
              <w:spacing w:line="120" w:lineRule="auto"/>
              <w:rPr>
                <w:rFonts w:hint="eastAsia" w:ascii="楷体_GB2312" w:hAnsi="宋体" w:eastAsia="楷体_GB2312"/>
                <w:b/>
                <w:sz w:val="32"/>
              </w:rPr>
            </w:pPr>
          </w:p>
        </w:tc>
      </w:tr>
    </w:tbl>
    <w:p>
      <w:pPr>
        <w:spacing w:line="120" w:lineRule="auto"/>
        <w:rPr>
          <w:rFonts w:hint="eastAsia" w:ascii="黑体" w:hAnsi="宋体" w:eastAsia="黑体"/>
          <w:b/>
          <w:sz w:val="24"/>
        </w:rPr>
      </w:pPr>
    </w:p>
    <w:p>
      <w:pPr>
        <w:spacing w:line="120" w:lineRule="auto"/>
        <w:rPr>
          <w:rFonts w:hint="eastAsia" w:ascii="黑体" w:hAnsi="宋体" w:eastAsia="黑体"/>
          <w:b/>
          <w:sz w:val="24"/>
        </w:rPr>
      </w:pPr>
    </w:p>
    <w:p>
      <w:pPr>
        <w:spacing w:line="120" w:lineRule="auto"/>
        <w:rPr>
          <w:rFonts w:hint="eastAsia" w:ascii="黑体" w:hAnsi="宋体" w:eastAsia="黑体"/>
          <w:b/>
          <w:sz w:val="24"/>
        </w:rPr>
      </w:pPr>
      <w:r>
        <w:rPr>
          <w:rFonts w:hint="eastAsia" w:ascii="黑体" w:hAnsi="宋体" w:eastAsia="黑体"/>
          <w:b/>
          <w:sz w:val="24"/>
        </w:rPr>
        <w:t>说明：1.要一事一建议；2.建议正文请打印或用钢笔、毛笔书写清楚，勿用铅笔或圆珠笔书写；3.编号、分类及处理意见请代表不要填写；4.姓名、通讯地址、邮政编码、电话号码一定要填写详细、清楚；5.一定要将建议正文页码编写清楚。</w:t>
      </w:r>
    </w:p>
    <w:p>
      <w:pPr>
        <w:keepNext w:val="0"/>
        <w:keepLines w:val="0"/>
        <w:widowControl/>
        <w:suppressLineNumbers w:val="0"/>
        <w:jc w:val="center"/>
        <w:rPr>
          <w:rFonts w:hint="default" w:ascii="黑体" w:hAnsi="黑体" w:eastAsia="黑体" w:cs="黑体"/>
          <w:lang w:val="en-US"/>
        </w:rPr>
      </w:pPr>
      <w:r>
        <w:rPr>
          <w:rFonts w:hint="eastAsia" w:ascii="黑体" w:hAnsi="黑体" w:eastAsia="黑体" w:cs="黑体"/>
          <w:b/>
          <w:bCs/>
          <w:color w:val="000008"/>
          <w:kern w:val="0"/>
          <w:sz w:val="32"/>
          <w:szCs w:val="32"/>
          <w:u w:val="single"/>
          <w:lang w:val="en-US" w:eastAsia="zh-CN" w:bidi="ar"/>
        </w:rPr>
        <w:t>关于怯庄棚改安置房交房及棚改腾置地块周边环境整治的建议</w:t>
      </w:r>
    </w:p>
    <w:p>
      <w:pPr>
        <w:keepNext w:val="0"/>
        <w:keepLines w:val="0"/>
        <w:widowControl/>
        <w:suppressLineNumbers w:val="0"/>
        <w:jc w:val="left"/>
        <w:rPr>
          <w:rFonts w:hint="eastAsia" w:ascii="黑体" w:hAnsi="黑体" w:eastAsia="黑体" w:cs="黑体"/>
          <w:u w:val="single"/>
        </w:rPr>
      </w:pPr>
      <w:r>
        <w:rPr>
          <w:rFonts w:hint="eastAsia" w:ascii="黑体" w:hAnsi="黑体" w:eastAsia="黑体" w:cs="黑体"/>
          <w:b/>
          <w:bCs/>
          <w:color w:val="000008"/>
          <w:kern w:val="0"/>
          <w:sz w:val="32"/>
          <w:szCs w:val="32"/>
          <w:u w:val="single"/>
          <w:lang w:val="en-US" w:eastAsia="zh-CN" w:bidi="ar"/>
        </w:rPr>
        <w:t xml:space="preserve">怯庄村于 2017 年启动棚户区改造。房屋已拆迁结束近五年。安置房到现在依然没有交房，过渡安置费拖⽋了⼗⼏个⽉，村⺠们意见很大；拆迁区房屋废墟林立，残垣断壁、周边环境杂草丛⽣。 </w:t>
      </w:r>
    </w:p>
    <w:p>
      <w:pPr>
        <w:keepNext w:val="0"/>
        <w:keepLines w:val="0"/>
        <w:widowControl/>
        <w:suppressLineNumbers w:val="0"/>
        <w:jc w:val="left"/>
        <w:rPr>
          <w:rFonts w:hint="eastAsia" w:ascii="黑体" w:hAnsi="黑体" w:eastAsia="黑体" w:cs="黑体"/>
          <w:u w:val="single"/>
        </w:rPr>
      </w:pPr>
      <w:r>
        <w:rPr>
          <w:rFonts w:hint="eastAsia" w:ascii="黑体" w:hAnsi="黑体" w:eastAsia="黑体" w:cs="黑体"/>
          <w:b/>
          <w:bCs/>
          <w:color w:val="000008"/>
          <w:kern w:val="0"/>
          <w:sz w:val="32"/>
          <w:szCs w:val="32"/>
          <w:u w:val="single"/>
          <w:lang w:val="en-US" w:eastAsia="zh-CN" w:bidi="ar"/>
        </w:rPr>
        <w:t xml:space="preserve">主要问题：⼀、因安置房迟迟不能交付，过渡安置费不能 </w:t>
      </w:r>
    </w:p>
    <w:p>
      <w:pPr>
        <w:keepNext w:val="0"/>
        <w:keepLines w:val="0"/>
        <w:widowControl/>
        <w:suppressLineNumbers w:val="0"/>
        <w:jc w:val="left"/>
        <w:rPr>
          <w:rFonts w:hint="eastAsia" w:ascii="黑体" w:hAnsi="黑体" w:eastAsia="黑体" w:cs="黑体"/>
          <w:u w:val="single"/>
        </w:rPr>
      </w:pPr>
      <w:r>
        <w:rPr>
          <w:rFonts w:hint="eastAsia" w:ascii="黑体" w:hAnsi="黑体" w:eastAsia="黑体" w:cs="黑体"/>
          <w:b/>
          <w:bCs/>
          <w:color w:val="000008"/>
          <w:kern w:val="0"/>
          <w:sz w:val="32"/>
          <w:szCs w:val="32"/>
          <w:u w:val="single"/>
          <w:lang w:val="en-US" w:eastAsia="zh-CN" w:bidi="ar"/>
        </w:rPr>
        <w:t xml:space="preserve">及时发放，导致怯庄村⼤部分村⺠居⽆定所。⼀部分群众在⽆法⽀付房租的情况下⽆奈在⽥间地头临时搭建⼀些活动板房藏身，另⼀部分村⺠⼲脆搬进⾃家拆除⼀半的危房内凑合⽣活。这样就造成了⾮常突出⽕灾隐患及安全隐患！ </w:t>
      </w:r>
    </w:p>
    <w:p>
      <w:pPr>
        <w:keepNext w:val="0"/>
        <w:keepLines w:val="0"/>
        <w:widowControl/>
        <w:suppressLineNumbers w:val="0"/>
        <w:jc w:val="left"/>
        <w:rPr>
          <w:rFonts w:hint="eastAsia" w:ascii="黑体" w:hAnsi="黑体" w:eastAsia="黑体" w:cs="黑体"/>
          <w:u w:val="single"/>
        </w:rPr>
      </w:pPr>
      <w:r>
        <w:rPr>
          <w:rFonts w:hint="eastAsia" w:ascii="黑体" w:hAnsi="黑体" w:eastAsia="黑体" w:cs="黑体"/>
          <w:b/>
          <w:bCs/>
          <w:color w:val="000008"/>
          <w:kern w:val="0"/>
          <w:sz w:val="32"/>
          <w:szCs w:val="32"/>
          <w:u w:val="single"/>
          <w:lang w:val="en-US" w:eastAsia="zh-CN" w:bidi="ar"/>
        </w:rPr>
        <w:t xml:space="preserve">⼆、拆迁区残垣断壁，遍地砖头瓦⽚；周边⼟地闲置荒芜，杂草丛⽣；冬天扬尘漫天，夏天臭⽔蚊⾍遍地。怯庄拆迁区居汝河沙滩公园、汝河湿地公园、农⺠⼯机绣返乡创业园区域内，严重影响汝州形象！ </w:t>
      </w:r>
    </w:p>
    <w:p>
      <w:pPr>
        <w:keepNext w:val="0"/>
        <w:keepLines w:val="0"/>
        <w:widowControl/>
        <w:suppressLineNumbers w:val="0"/>
        <w:jc w:val="left"/>
        <w:rPr>
          <w:rFonts w:hint="eastAsia" w:ascii="黑体" w:hAnsi="黑体" w:eastAsia="黑体" w:cs="黑体"/>
        </w:rPr>
      </w:pPr>
      <w:r>
        <w:rPr>
          <w:rFonts w:hint="eastAsia" w:ascii="黑体" w:hAnsi="黑体" w:eastAsia="黑体" w:cs="黑体"/>
          <w:b/>
          <w:bCs/>
          <w:color w:val="000008"/>
          <w:kern w:val="0"/>
          <w:sz w:val="32"/>
          <w:szCs w:val="32"/>
          <w:u w:val="single"/>
          <w:lang w:val="en-US" w:eastAsia="zh-CN" w:bidi="ar"/>
        </w:rPr>
        <w:t>建议：⼀、督促安置房施⼯⽅加快项⽬建设，尽早交房让村⺠及时回迁。这样，既安抚⺠⼼⼜为政府节省了过渡安置费。⼆、 拆迁区废墟清理并腾出⼟地，由相关单位做好废墟清理和⽴项进⾏⼟地复垦或平整，后进⾏廊道绿化，既改善了环境⼜增添了可耕地！</w:t>
      </w:r>
      <w:r>
        <w:rPr>
          <w:rFonts w:hint="eastAsia" w:ascii="黑体" w:hAnsi="黑体" w:eastAsia="黑体" w:cs="黑体"/>
          <w:b/>
          <w:bCs/>
          <w:color w:val="000008"/>
          <w:kern w:val="0"/>
          <w:sz w:val="32"/>
          <w:szCs w:val="32"/>
          <w:lang w:val="en-US" w:eastAsia="zh-CN" w:bidi="ar"/>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A36308"/>
    <w:rsid w:val="4DE900DB"/>
    <w:rsid w:val="62F333B8"/>
    <w:rsid w:val="7EA36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673</Words>
  <Characters>700</Characters>
  <Lines>0</Lines>
  <Paragraphs>0</Paragraphs>
  <TotalTime>0</TotalTime>
  <ScaleCrop>false</ScaleCrop>
  <LinksUpToDate>false</LinksUpToDate>
  <CharactersWithSpaces>829</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2022-04-24T02:36:00Z</dcterms:created>
  <dc:creator>Administrator</dc:creator>
  <cp:lastModifiedBy>11785</cp:lastModifiedBy>
  <dcterms:modified xsi:type="dcterms:W3CDTF">2022-04-24T03:26:32Z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6F19FB99C52D4CDAA81ABA589BFF7A5B</vt:lpwstr>
  </property>
  <property fmtid="{D5CDD505-2E9C-101B-9397-08002B2CF9AE}" pid="4" name="commondata">
    <vt:lpwstr>eyJoZGlkIjoiYTg3ZTFkOTUxYmJhMDM1ZTQwMzgwNzJmNGQ5M2YzMzQifQ==</vt:lpwstr>
  </property>
</Properties>
</file>